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7"/>
        <w:tblW w:w="8798" w:type="dxa"/>
        <w:tblInd w:w="0" w:type="dxa"/>
        <w:tblBorders>
          <w:top w:val="none" w:color="auto" w:sz="0" w:space="0"/>
          <w:left w:val="none" w:color="auto" w:sz="0" w:space="0"/>
          <w:bottom w:val="thinThickSmallGap" w:color="FF0000" w:sz="2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8"/>
      </w:tblGrid>
      <w:tr>
        <w:tblPrEx>
          <w:tblBorders>
            <w:top w:val="none" w:color="auto" w:sz="0" w:space="0"/>
            <w:left w:val="none" w:color="auto" w:sz="0" w:space="0"/>
            <w:bottom w:val="thinThickSmallGap" w:color="FF0000" w:sz="2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798" w:type="dxa"/>
          </w:tcPr>
          <w:p>
            <w:pPr>
              <w:pStyle w:val="2"/>
              <w:numPr>
                <w:ilvl w:val="0"/>
                <w:numId w:val="0"/>
              </w:numPr>
              <w:autoSpaceDE w:val="0"/>
              <w:autoSpaceDN w:val="0"/>
              <w:snapToGrid w:val="0"/>
              <w:jc w:val="distribute"/>
              <w:rPr>
                <w:b/>
                <w:bCs/>
                <w:color w:val="FF0000"/>
                <w:w w:val="90"/>
                <w:kern w:val="72"/>
                <w:sz w:val="72"/>
              </w:rPr>
            </w:pPr>
            <w:bookmarkStart w:id="0" w:name="xxqqWholeArea"/>
            <w:r>
              <w:rPr>
                <w:rFonts w:hint="eastAsia" w:ascii="方正小标宋简体" w:eastAsia="方正小标宋简体"/>
                <w:b/>
                <w:color w:val="FF0000"/>
                <w:spacing w:val="120"/>
                <w:w w:val="90"/>
                <w:kern w:val="72"/>
                <w:sz w:val="72"/>
              </w:rPr>
              <w:t>东莞市科学技术局</w:t>
            </w:r>
          </w:p>
        </w:tc>
      </w:tr>
      <w:bookmarkEnd w:id="0"/>
    </w:tbl>
    <w:p>
      <w:pPr>
        <w:spacing w:line="540" w:lineRule="exact"/>
        <w:ind w:firstLine="640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napToGrid w:val="0"/>
        <w:spacing w:line="580" w:lineRule="exact"/>
        <w:ind w:firstLine="0" w:firstLineChars="0"/>
        <w:jc w:val="center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关于名校研究生来莞培养（实践）的通知</w:t>
      </w:r>
    </w:p>
    <w:p>
      <w:pPr>
        <w:snapToGrid w:val="0"/>
        <w:spacing w:line="580" w:lineRule="exact"/>
        <w:ind w:firstLine="0" w:firstLineChars="0"/>
        <w:jc w:val="center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520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为满足我市经济社会发展和产业转型升级的人才、技术需求，吸引更多的高层次人才认识东莞、服务东莞、留在东莞。今年，我市正式启动了名校研究生培养（实践）基地的建设，基地建设基于</w:t>
      </w:r>
      <w:r>
        <w:rPr>
          <w:rFonts w:ascii="Times New Roman" w:eastAsia="仿宋_GB2312"/>
          <w:sz w:val="32"/>
          <w:szCs w:val="32"/>
        </w:rPr>
        <w:t>东莞</w:t>
      </w:r>
      <w:r>
        <w:rPr>
          <w:rFonts w:hint="eastAsia" w:ascii="Times New Roman" w:eastAsia="仿宋_GB2312"/>
          <w:sz w:val="32"/>
          <w:szCs w:val="32"/>
        </w:rPr>
        <w:t>的城市定位和相关的产业需求，整合集聚政、校、企多方资源，依托我市高校、科技企业、政府公共服务等资源的集聚优势，走“1个培养（实践）基地+N个合作高校”的集约发展模式，推广“政府牵线、校企对接、项目聚人”的研究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生培养模式，实现政府、高校、企业多方共赢发展。</w:t>
      </w:r>
    </w:p>
    <w:p>
      <w:pPr>
        <w:spacing w:line="520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目前，我市出台了一系列补助政策和扶持资金，</w:t>
      </w:r>
      <w:r>
        <w:rPr>
          <w:rFonts w:hint="eastAsia" w:ascii="Times New Roman" w:hAnsi="Times New Roman" w:eastAsia="仿宋_GB2312"/>
          <w:b/>
          <w:bCs/>
          <w:kern w:val="0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对来莞培养（实践）3个月以上的硕士研究生给予每人每月1500元、博士研究生每人每月2500 元的财政补贴，并对合作高校在莞设立的研究生培育管理机构按每名研究生每月1000元给予专项补助。</w:t>
      </w:r>
      <w:r>
        <w:rPr>
          <w:rFonts w:hint="eastAsia" w:ascii="Times New Roman" w:hAnsi="Times New Roman" w:eastAsia="仿宋_GB2312"/>
          <w:b/>
          <w:bCs/>
          <w:kern w:val="0"/>
          <w:sz w:val="32"/>
          <w:szCs w:val="32"/>
        </w:rPr>
        <w:t>二是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设立研究生联合培养项目引导资金，计划2017-2019年每年拟安排2000万元，用于支持我市企业与高校导师在研究生培养（实践）领域开展的优秀科研项目。</w:t>
      </w:r>
      <w:r>
        <w:rPr>
          <w:rFonts w:hint="eastAsia" w:ascii="Times New Roman" w:hAnsi="Times New Roman" w:eastAsia="仿宋_GB2312"/>
          <w:b/>
          <w:bCs/>
          <w:kern w:val="0"/>
          <w:sz w:val="32"/>
          <w:szCs w:val="32"/>
        </w:rPr>
        <w:t>三是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为来莞实践的研究生提供免费住宿，统一管理。</w:t>
      </w:r>
      <w:r>
        <w:rPr>
          <w:rFonts w:hint="eastAsia" w:ascii="Times New Roman" w:hAnsi="Times New Roman" w:eastAsia="仿宋_GB2312"/>
          <w:b/>
          <w:bCs/>
          <w:kern w:val="0"/>
          <w:sz w:val="32"/>
          <w:szCs w:val="32"/>
        </w:rPr>
        <w:t>四是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由进驻企业为研究生购买</w:t>
      </w:r>
      <w:r>
        <w:rPr>
          <w:rFonts w:hint="eastAsia" w:ascii="Times New Roman" w:eastAsia="仿宋_GB2312"/>
          <w:sz w:val="32"/>
          <w:szCs w:val="32"/>
        </w:rPr>
        <w:t>二十万额度的培养（实践）期间人身意外保险。</w:t>
      </w:r>
    </w:p>
    <w:p>
      <w:pPr>
        <w:spacing w:line="520" w:lineRule="exact"/>
        <w:ind w:firstLine="640"/>
        <w:rPr>
          <w:rFonts w:ascii="Times New Roman" w:eastAsia="仿宋_GB2312"/>
          <w:sz w:val="32"/>
          <w:szCs w:val="32"/>
        </w:rPr>
      </w:pPr>
      <w:bookmarkStart w:id="1" w:name="_GoBack"/>
      <w:bookmarkEnd w:id="1"/>
      <w:r>
        <w:rPr>
          <w:rFonts w:hint="eastAsia" w:ascii="Times New Roman" w:hAnsi="Times New Roman" w:eastAsia="仿宋_GB2312"/>
          <w:kern w:val="0"/>
          <w:sz w:val="32"/>
          <w:szCs w:val="32"/>
        </w:rPr>
        <w:t>我们共收集了全市重点骨干企业、上市企业、高新技术企业等80多家，</w:t>
      </w:r>
      <w:r>
        <w:rPr>
          <w:rFonts w:hint="eastAsia" w:ascii="Times New Roman" w:eastAsia="仿宋_GB2312"/>
          <w:sz w:val="32"/>
          <w:szCs w:val="32"/>
        </w:rPr>
        <w:t>200多个项目，710多名研究生需求，建立了项目人才需求库，为研究生来莞实践提供了丰富的项目保障，为了进一步落实研究生来莞培养（实践）的各项工作，目前我市正组织研究生来莞实践报名，符合条件并有意愿参与我市名校研究生培养（实践）的研究生可根据以下方式进行报名：</w:t>
      </w:r>
    </w:p>
    <w:p>
      <w:pPr>
        <w:spacing w:line="520" w:lineRule="exact"/>
        <w:ind w:left="640"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一、报名条件</w:t>
      </w:r>
    </w:p>
    <w:p>
      <w:pPr>
        <w:spacing w:line="520" w:lineRule="exact"/>
        <w:ind w:firstLine="640"/>
        <w:rPr>
          <w:rFonts w:hint="eastAsia"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（一）报名研究生所读院校要求本科一批以上，并且为在读的全日制硕士或博士研究生；</w:t>
      </w:r>
    </w:p>
    <w:p>
      <w:pPr>
        <w:spacing w:line="520" w:lineRule="exact"/>
        <w:ind w:firstLine="640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（二）报名研究生所读专业要求与东莞市产业相匹配，详细参考《2017年东莞市名校研究生培养（实践）基地研究生需求信息统计表》（附件2）。</w:t>
      </w:r>
    </w:p>
    <w:p>
      <w:pPr>
        <w:pStyle w:val="37"/>
        <w:numPr>
          <w:ilvl w:val="0"/>
          <w:numId w:val="2"/>
        </w:numPr>
        <w:spacing w:line="520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报名流程</w:t>
      </w:r>
    </w:p>
    <w:p>
      <w:pPr>
        <w:pStyle w:val="37"/>
        <w:numPr>
          <w:ilvl w:val="0"/>
          <w:numId w:val="3"/>
        </w:numPr>
        <w:spacing w:line="520" w:lineRule="exact"/>
        <w:ind w:left="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符合条件的研究生可参考《2017年东莞市名校研究生培养（实践）基地研究生需求信息统计表（第一批、第二批）》（附件2）、《东莞市名校研究生培养（实践）基地企业、新型研发机构研究生需求信息汇编》（附件3），根据自身实际情况以及项目人才需求，</w:t>
      </w:r>
      <w:r>
        <w:rPr>
          <w:rFonts w:hint="eastAsia" w:ascii="仿宋_GB2312" w:eastAsia="仿宋_GB2312" w:hAnsiTheme="minorEastAsia"/>
          <w:sz w:val="32"/>
          <w:szCs w:val="32"/>
        </w:rPr>
        <w:t>提前联系企业或研发机构，深入了解项目以及企业的相关情况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，</w:t>
      </w:r>
      <w:r>
        <w:rPr>
          <w:rFonts w:hint="eastAsia" w:ascii="Times New Roman" w:eastAsia="仿宋_GB2312"/>
          <w:sz w:val="32"/>
          <w:szCs w:val="32"/>
        </w:rPr>
        <w:t xml:space="preserve">填报《东莞市名校研究生培养（实践）报名表》（附件4，以下简称“《报名表》”）； </w:t>
      </w:r>
    </w:p>
    <w:p>
      <w:pPr>
        <w:numPr>
          <w:ilvl w:val="0"/>
          <w:numId w:val="3"/>
        </w:numPr>
        <w:spacing w:line="520" w:lineRule="exact"/>
        <w:ind w:left="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填写完成《报名表》后，将报名表提交到所属院系或研究生院进行盖章确认身份，</w:t>
      </w:r>
      <w:r>
        <w:rPr>
          <w:rFonts w:hint="eastAsia" w:ascii="仿宋_GB2312" w:eastAsia="仿宋_GB2312" w:hAnsiTheme="minorEastAsia"/>
          <w:sz w:val="32"/>
          <w:szCs w:val="32"/>
        </w:rPr>
        <w:t>并把原件邮寄至东莞市名校研究生培育发展中心（以下简称“研究生中心”，广东省东莞市莞城区汇峰路1号汇峰中心H座7楼），电子版的</w:t>
      </w:r>
      <w:r>
        <w:rPr>
          <w:rFonts w:hint="eastAsia" w:ascii="Times New Roman" w:eastAsia="仿宋_GB2312"/>
          <w:sz w:val="32"/>
          <w:szCs w:val="32"/>
        </w:rPr>
        <w:t>《报名表》</w:t>
      </w:r>
      <w:r>
        <w:rPr>
          <w:rFonts w:hint="eastAsia" w:ascii="仿宋_GB2312" w:eastAsia="仿宋_GB2312" w:hAnsiTheme="minorEastAsia"/>
          <w:sz w:val="32"/>
          <w:szCs w:val="32"/>
        </w:rPr>
        <w:t>扫描后发到我局研究生中心电子邮箱（404755334@qq.com）；</w:t>
      </w:r>
    </w:p>
    <w:p>
      <w:pPr>
        <w:numPr>
          <w:ilvl w:val="0"/>
          <w:numId w:val="3"/>
        </w:numPr>
        <w:spacing w:line="520" w:lineRule="exact"/>
        <w:ind w:left="0" w:firstLine="640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研究生中心根据研究生的报名情况，与基地合作企业或新型研发机构对接，初步确定来莞培养（实践）研究生人员，并反馈给相关的研究生。</w:t>
      </w:r>
    </w:p>
    <w:p>
      <w:pPr>
        <w:numPr>
          <w:ilvl w:val="0"/>
          <w:numId w:val="3"/>
        </w:numPr>
        <w:spacing w:line="520" w:lineRule="exact"/>
        <w:ind w:left="0" w:firstLine="640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研究生确认录取后，先与其所属院系或研究生院签署《研究生联合培养（实践）四方协议书》（附件</w:t>
      </w:r>
      <w:r>
        <w:rPr>
          <w:rFonts w:hint="eastAsia" w:asci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eastAsia="仿宋_GB2312"/>
          <w:sz w:val="32"/>
          <w:szCs w:val="32"/>
        </w:rPr>
        <w:t>，一式四份），由研究生来莞时交给研究生中心。</w:t>
      </w:r>
    </w:p>
    <w:p>
      <w:pPr>
        <w:pStyle w:val="36"/>
        <w:spacing w:line="520" w:lineRule="exact"/>
        <w:ind w:left="640" w:firstLine="0" w:firstLineChars="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三、时间安排</w:t>
      </w:r>
      <w:r>
        <w:rPr>
          <w:rFonts w:hint="eastAsia" w:ascii="仿宋_GB2312" w:eastAsia="仿宋_GB2312" w:hAnsiTheme="minorEastAsia"/>
          <w:sz w:val="32"/>
          <w:szCs w:val="32"/>
        </w:rPr>
        <w:t>：</w:t>
      </w:r>
    </w:p>
    <w:p>
      <w:pPr>
        <w:numPr>
          <w:ilvl w:val="0"/>
          <w:numId w:val="4"/>
        </w:numPr>
        <w:spacing w:line="520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请各研究生于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日前提交《报名表》，以盖公章为准；</w:t>
      </w:r>
    </w:p>
    <w:p>
      <w:pPr>
        <w:numPr>
          <w:ilvl w:val="0"/>
          <w:numId w:val="4"/>
        </w:numPr>
        <w:spacing w:line="520" w:lineRule="exact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研究生中心于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日前反馈</w:t>
      </w:r>
      <w:r>
        <w:rPr>
          <w:rFonts w:hint="eastAsia" w:ascii="Times New Roman" w:eastAsia="仿宋_GB2312"/>
          <w:sz w:val="32"/>
          <w:szCs w:val="32"/>
        </w:rPr>
        <w:t>来莞培养（实践）研究生人员信息。</w:t>
      </w:r>
    </w:p>
    <w:p>
      <w:pPr>
        <w:spacing w:line="520" w:lineRule="exact"/>
        <w:ind w:left="0" w:leftChars="0" w:firstLine="0" w:firstLineChars="0"/>
        <w:rPr>
          <w:rFonts w:ascii="仿宋_GB2312" w:eastAsia="仿宋_GB2312" w:hAnsiTheme="minorEastAsia"/>
          <w:sz w:val="32"/>
          <w:szCs w:val="32"/>
        </w:rPr>
      </w:pPr>
    </w:p>
    <w:p>
      <w:pPr>
        <w:spacing w:line="520" w:lineRule="exact"/>
        <w:ind w:left="1440" w:leftChars="200" w:hanging="960" w:hangingChars="3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附件：</w:t>
      </w:r>
    </w:p>
    <w:p>
      <w:pPr>
        <w:numPr>
          <w:ilvl w:val="0"/>
          <w:numId w:val="5"/>
        </w:numPr>
        <w:spacing w:line="520" w:lineRule="exact"/>
        <w:ind w:left="567"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报名流程图</w:t>
      </w:r>
    </w:p>
    <w:p>
      <w:pPr>
        <w:numPr>
          <w:ilvl w:val="0"/>
          <w:numId w:val="5"/>
        </w:numPr>
        <w:spacing w:line="520" w:lineRule="exact"/>
        <w:ind w:left="567"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2017年东莞市名校研究生培养（实践）基地研究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生需求信息统计表（第一批、第二批）</w:t>
      </w:r>
    </w:p>
    <w:p>
      <w:pPr>
        <w:numPr>
          <w:ilvl w:val="0"/>
          <w:numId w:val="5"/>
        </w:numPr>
        <w:spacing w:line="520" w:lineRule="exact"/>
        <w:ind w:left="567"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东莞市名校研究生培养（实践）基地企业、新型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研发机构研究生需求信息汇编</w:t>
      </w:r>
    </w:p>
    <w:p>
      <w:pPr>
        <w:numPr>
          <w:ilvl w:val="0"/>
          <w:numId w:val="5"/>
        </w:numPr>
        <w:spacing w:line="520" w:lineRule="exact"/>
        <w:ind w:left="567"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东莞市名校研究生培养（实践）报名表</w:t>
      </w:r>
    </w:p>
    <w:p>
      <w:pPr>
        <w:numPr>
          <w:ilvl w:val="0"/>
          <w:numId w:val="5"/>
        </w:numPr>
        <w:spacing w:line="520" w:lineRule="exact"/>
        <w:ind w:left="567"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研究生联合培养（实践）四方协议书</w:t>
      </w:r>
    </w:p>
    <w:p>
      <w:pPr>
        <w:numPr>
          <w:ilvl w:val="0"/>
          <w:numId w:val="5"/>
        </w:numPr>
        <w:spacing w:line="520" w:lineRule="exact"/>
        <w:ind w:left="567"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东莞市人民政府办公室关于印发《2017年东莞市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名校研究生院筹建工作方案》的通知</w:t>
      </w:r>
    </w:p>
    <w:p>
      <w:pPr>
        <w:numPr>
          <w:ilvl w:val="0"/>
          <w:numId w:val="5"/>
        </w:numPr>
        <w:spacing w:line="520" w:lineRule="exact"/>
        <w:ind w:left="567"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东莞市工业支柱产业及特色产业情况</w:t>
      </w:r>
    </w:p>
    <w:p>
      <w:pPr>
        <w:numPr>
          <w:ilvl w:val="0"/>
          <w:numId w:val="5"/>
        </w:numPr>
        <w:spacing w:line="520" w:lineRule="exact"/>
        <w:ind w:left="567"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基地政策、规章制度汇编</w:t>
      </w:r>
    </w:p>
    <w:p>
      <w:pPr>
        <w:spacing w:line="520" w:lineRule="exact"/>
        <w:ind w:firstLine="0" w:firstLineChars="0"/>
        <w:rPr>
          <w:rFonts w:ascii="仿宋_GB2312" w:hAnsi="Times New Roman" w:eastAsia="仿宋_GB2312"/>
          <w:sz w:val="32"/>
          <w:szCs w:val="32"/>
        </w:rPr>
      </w:pPr>
    </w:p>
    <w:p>
      <w:pPr>
        <w:wordWrap w:val="0"/>
        <w:spacing w:line="520" w:lineRule="exact"/>
        <w:ind w:firstLine="64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东莞市科学技术局         </w:t>
      </w:r>
    </w:p>
    <w:p>
      <w:pPr>
        <w:wordWrap w:val="0"/>
        <w:spacing w:line="520" w:lineRule="exact"/>
        <w:ind w:firstLine="64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2017</w:t>
      </w:r>
      <w:r>
        <w:rPr>
          <w:rFonts w:hint="eastAsia" w:ascii="仿宋_GB2312" w:hAnsi="仿宋_GB2312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</w:rPr>
        <w:t>6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/>
          <w:sz w:val="32"/>
          <w:szCs w:val="32"/>
        </w:rPr>
        <w:t xml:space="preserve">日 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520" w:lineRule="exact"/>
        <w:ind w:firstLine="0" w:firstLineChars="0"/>
        <w:rPr>
          <w:rFonts w:ascii="仿宋_GB2312" w:eastAsia="仿宋_GB2312" w:hAnsiTheme="minorEastAsia"/>
          <w:sz w:val="32"/>
          <w:szCs w:val="32"/>
        </w:rPr>
      </w:pPr>
    </w:p>
    <w:p>
      <w:pPr>
        <w:spacing w:line="560" w:lineRule="exact"/>
        <w:ind w:firstLine="0" w:firstLineChars="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（联系人：李嘉琪、张建明；联系电话：0769-22831310;邮箱:404755334@qq.com；）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826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康简标题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ind w:firstLine="360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separate"/>
    </w:r>
    <w:r>
      <w:rPr>
        <w:rStyle w:val="15"/>
      </w:rPr>
      <w:t>3</w:t>
    </w:r>
    <w:r>
      <w:rPr>
        <w:rStyle w:val="15"/>
      </w:rPr>
      <w:fldChar w:fldCharType="end"/>
    </w:r>
  </w:p>
  <w:p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ind w:firstLine="360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left"/>
    </w:lvl>
    <w:lvl w:ilvl="1" w:tentative="0">
      <w:start w:val="0"/>
      <w:numFmt w:val="decimal"/>
      <w:pStyle w:val="3"/>
      <w:lvlText w:val="%2"/>
      <w:legacy w:legacy="1" w:legacySpace="0" w:legacyIndent="0"/>
      <w:lvlJc w:val="left"/>
      <w:rPr>
        <w:rFonts w:hint="eastAsia" w:ascii="宋体" w:eastAsia="宋体"/>
      </w:rPr>
    </w:lvl>
    <w:lvl w:ilvl="2" w:tentative="0">
      <w:start w:val="0"/>
      <w:numFmt w:val="decimal"/>
      <w:pStyle w:val="4"/>
      <w:lvlText w:val="%3"/>
      <w:legacy w:legacy="1" w:legacySpace="0" w:legacyIndent="0"/>
      <w:lvlJc w:val="left"/>
      <w:rPr>
        <w:rFonts w:hint="eastAsia" w:ascii="宋体" w:eastAsia="宋体"/>
      </w:rPr>
    </w:lvl>
    <w:lvl w:ilvl="3" w:tentative="0">
      <w:start w:val="0"/>
      <w:numFmt w:val="decimal"/>
      <w:pStyle w:val="5"/>
      <w:lvlText w:val="%4"/>
      <w:legacy w:legacy="1" w:legacySpace="0" w:legacyIndent="0"/>
      <w:lvlJc w:val="left"/>
      <w:rPr>
        <w:rFonts w:hint="eastAsia" w:ascii="宋体" w:eastAsia="宋体"/>
      </w:rPr>
    </w:lvl>
    <w:lvl w:ilvl="4" w:tentative="0">
      <w:start w:val="0"/>
      <w:numFmt w:val="decimal"/>
      <w:pStyle w:val="6"/>
      <w:lvlText w:val="%5"/>
      <w:legacy w:legacy="1" w:legacySpace="0" w:legacyIndent="0"/>
      <w:lvlJc w:val="left"/>
      <w:rPr>
        <w:rFonts w:hint="eastAsia" w:ascii="宋体" w:eastAsia="宋体"/>
      </w:rPr>
    </w:lvl>
    <w:lvl w:ilvl="5" w:tentative="0">
      <w:start w:val="0"/>
      <w:numFmt w:val="decimal"/>
      <w:pStyle w:val="7"/>
      <w:lvlText w:val="%6"/>
      <w:legacy w:legacy="1" w:legacySpace="0" w:legacyIndent="0"/>
      <w:lvlJc w:val="left"/>
      <w:rPr>
        <w:rFonts w:hint="eastAsia" w:ascii="宋体" w:eastAsia="宋体"/>
      </w:rPr>
    </w:lvl>
    <w:lvl w:ilvl="6" w:tentative="0">
      <w:start w:val="0"/>
      <w:numFmt w:val="decimal"/>
      <w:pStyle w:val="8"/>
      <w:lvlText w:val="%7"/>
      <w:legacy w:legacy="1" w:legacySpace="0" w:legacyIndent="0"/>
      <w:lvlJc w:val="left"/>
      <w:rPr>
        <w:rFonts w:hint="eastAsia" w:ascii="宋体" w:eastAsia="宋体"/>
      </w:rPr>
    </w:lvl>
    <w:lvl w:ilvl="7" w:tentative="0">
      <w:start w:val="0"/>
      <w:numFmt w:val="decimal"/>
      <w:pStyle w:val="9"/>
      <w:lvlText w:val="%8"/>
      <w:legacy w:legacy="1" w:legacySpace="0" w:legacyIndent="0"/>
      <w:lvlJc w:val="left"/>
      <w:rPr>
        <w:rFonts w:hint="eastAsia" w:ascii="宋体" w:eastAsia="宋体"/>
      </w:rPr>
    </w:lvl>
    <w:lvl w:ilvl="8" w:tentative="0">
      <w:start w:val="0"/>
      <w:numFmt w:val="decimal"/>
      <w:pStyle w:val="10"/>
      <w:lvlText w:val="%9"/>
      <w:legacy w:legacy="1" w:legacySpace="0" w:legacyIndent="0"/>
      <w:lvlJc w:val="left"/>
      <w:rPr>
        <w:rFonts w:hint="eastAsia" w:ascii="宋体" w:eastAsia="宋体"/>
      </w:rPr>
    </w:lvl>
  </w:abstractNum>
  <w:abstractNum w:abstractNumId="1">
    <w:nsid w:val="11786E53"/>
    <w:multiLevelType w:val="multilevel"/>
    <w:tmpl w:val="11786E53"/>
    <w:lvl w:ilvl="0" w:tentative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32522492"/>
    <w:multiLevelType w:val="multilevel"/>
    <w:tmpl w:val="32522492"/>
    <w:lvl w:ilvl="0" w:tentative="0">
      <w:start w:val="1"/>
      <w:numFmt w:val="chineseCounting"/>
      <w:lvlText w:val="（%1）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5927E376"/>
    <w:multiLevelType w:val="singleLevel"/>
    <w:tmpl w:val="5927E37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5927E947"/>
    <w:multiLevelType w:val="singleLevel"/>
    <w:tmpl w:val="5927E94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15540"/>
    <w:rsid w:val="00033B4E"/>
    <w:rsid w:val="00057DEA"/>
    <w:rsid w:val="0009635D"/>
    <w:rsid w:val="000B768B"/>
    <w:rsid w:val="000D5AA3"/>
    <w:rsid w:val="0010466F"/>
    <w:rsid w:val="00110190"/>
    <w:rsid w:val="00115D57"/>
    <w:rsid w:val="001668C8"/>
    <w:rsid w:val="00172A27"/>
    <w:rsid w:val="00183966"/>
    <w:rsid w:val="001A7023"/>
    <w:rsid w:val="001C1F19"/>
    <w:rsid w:val="001F7243"/>
    <w:rsid w:val="002131A9"/>
    <w:rsid w:val="002272A4"/>
    <w:rsid w:val="002444F8"/>
    <w:rsid w:val="0024528A"/>
    <w:rsid w:val="00264454"/>
    <w:rsid w:val="002A4398"/>
    <w:rsid w:val="002E6276"/>
    <w:rsid w:val="00331668"/>
    <w:rsid w:val="00335D82"/>
    <w:rsid w:val="0034317B"/>
    <w:rsid w:val="00362E99"/>
    <w:rsid w:val="00367FAA"/>
    <w:rsid w:val="003E3C4B"/>
    <w:rsid w:val="00405C5A"/>
    <w:rsid w:val="004766E8"/>
    <w:rsid w:val="0047757D"/>
    <w:rsid w:val="004A4F04"/>
    <w:rsid w:val="004C4120"/>
    <w:rsid w:val="004D7D39"/>
    <w:rsid w:val="004E689D"/>
    <w:rsid w:val="004F1038"/>
    <w:rsid w:val="00550540"/>
    <w:rsid w:val="00552E18"/>
    <w:rsid w:val="00580D24"/>
    <w:rsid w:val="00595A52"/>
    <w:rsid w:val="005E4735"/>
    <w:rsid w:val="005E6AC6"/>
    <w:rsid w:val="0060525A"/>
    <w:rsid w:val="00625B2E"/>
    <w:rsid w:val="006416B8"/>
    <w:rsid w:val="00651585"/>
    <w:rsid w:val="006702D1"/>
    <w:rsid w:val="0069148B"/>
    <w:rsid w:val="006A12EA"/>
    <w:rsid w:val="006D2FD6"/>
    <w:rsid w:val="006D341A"/>
    <w:rsid w:val="00701A2D"/>
    <w:rsid w:val="007063FA"/>
    <w:rsid w:val="00740E73"/>
    <w:rsid w:val="0076420C"/>
    <w:rsid w:val="007A24C0"/>
    <w:rsid w:val="007A5995"/>
    <w:rsid w:val="007D389B"/>
    <w:rsid w:val="007E008E"/>
    <w:rsid w:val="007F546D"/>
    <w:rsid w:val="008930B2"/>
    <w:rsid w:val="008D1F2D"/>
    <w:rsid w:val="008D38EB"/>
    <w:rsid w:val="008D3B29"/>
    <w:rsid w:val="008D577D"/>
    <w:rsid w:val="00914607"/>
    <w:rsid w:val="009239A5"/>
    <w:rsid w:val="00934992"/>
    <w:rsid w:val="009406DC"/>
    <w:rsid w:val="00947F08"/>
    <w:rsid w:val="0095335C"/>
    <w:rsid w:val="00957108"/>
    <w:rsid w:val="00957580"/>
    <w:rsid w:val="00980D57"/>
    <w:rsid w:val="009862D1"/>
    <w:rsid w:val="009976AE"/>
    <w:rsid w:val="009A4D77"/>
    <w:rsid w:val="009B6244"/>
    <w:rsid w:val="009D2489"/>
    <w:rsid w:val="009D4560"/>
    <w:rsid w:val="009D5CD1"/>
    <w:rsid w:val="009E3AAC"/>
    <w:rsid w:val="009F0975"/>
    <w:rsid w:val="00A238D6"/>
    <w:rsid w:val="00A371EF"/>
    <w:rsid w:val="00A51C4E"/>
    <w:rsid w:val="00A6782B"/>
    <w:rsid w:val="00A93F63"/>
    <w:rsid w:val="00AE3AD7"/>
    <w:rsid w:val="00B279CC"/>
    <w:rsid w:val="00B567FD"/>
    <w:rsid w:val="00B641AA"/>
    <w:rsid w:val="00B70242"/>
    <w:rsid w:val="00B76756"/>
    <w:rsid w:val="00BA6C19"/>
    <w:rsid w:val="00BB210C"/>
    <w:rsid w:val="00BB55C2"/>
    <w:rsid w:val="00BF2329"/>
    <w:rsid w:val="00C23639"/>
    <w:rsid w:val="00C23EFB"/>
    <w:rsid w:val="00C842EE"/>
    <w:rsid w:val="00CE4416"/>
    <w:rsid w:val="00D941D6"/>
    <w:rsid w:val="00DD4215"/>
    <w:rsid w:val="00DD4FE8"/>
    <w:rsid w:val="00E22653"/>
    <w:rsid w:val="00E33ACB"/>
    <w:rsid w:val="00E608A3"/>
    <w:rsid w:val="00E660D0"/>
    <w:rsid w:val="00E742D5"/>
    <w:rsid w:val="00E76A1F"/>
    <w:rsid w:val="00E76D9E"/>
    <w:rsid w:val="00EC0850"/>
    <w:rsid w:val="00EC48B8"/>
    <w:rsid w:val="00ED2086"/>
    <w:rsid w:val="00ED7BAE"/>
    <w:rsid w:val="00EE093B"/>
    <w:rsid w:val="00F0617D"/>
    <w:rsid w:val="00F26D54"/>
    <w:rsid w:val="00F26EC6"/>
    <w:rsid w:val="00F80481"/>
    <w:rsid w:val="00F92C0F"/>
    <w:rsid w:val="00FA0C37"/>
    <w:rsid w:val="00FD3DC5"/>
    <w:rsid w:val="03C23D08"/>
    <w:rsid w:val="060653EE"/>
    <w:rsid w:val="09817FDE"/>
    <w:rsid w:val="0AFC5589"/>
    <w:rsid w:val="0B361CC1"/>
    <w:rsid w:val="0BE42875"/>
    <w:rsid w:val="0BFE59CB"/>
    <w:rsid w:val="0E69571C"/>
    <w:rsid w:val="10B053B2"/>
    <w:rsid w:val="12016DFF"/>
    <w:rsid w:val="16D70201"/>
    <w:rsid w:val="1755212A"/>
    <w:rsid w:val="1B6F7EA6"/>
    <w:rsid w:val="209B1ECD"/>
    <w:rsid w:val="22B4288E"/>
    <w:rsid w:val="23265D13"/>
    <w:rsid w:val="245804B9"/>
    <w:rsid w:val="24FC660E"/>
    <w:rsid w:val="25BD21E1"/>
    <w:rsid w:val="272810A1"/>
    <w:rsid w:val="2E0D6535"/>
    <w:rsid w:val="2F9E4049"/>
    <w:rsid w:val="30AC14C4"/>
    <w:rsid w:val="31B64F60"/>
    <w:rsid w:val="31D11AE7"/>
    <w:rsid w:val="345B71AF"/>
    <w:rsid w:val="36AE76C7"/>
    <w:rsid w:val="398263A9"/>
    <w:rsid w:val="39FF15C2"/>
    <w:rsid w:val="3B046764"/>
    <w:rsid w:val="3D692727"/>
    <w:rsid w:val="3DFC3372"/>
    <w:rsid w:val="3E103744"/>
    <w:rsid w:val="3E932AD5"/>
    <w:rsid w:val="3EB52D50"/>
    <w:rsid w:val="3FDA2E6E"/>
    <w:rsid w:val="414139AF"/>
    <w:rsid w:val="43893D1D"/>
    <w:rsid w:val="47E71D3F"/>
    <w:rsid w:val="482F0D35"/>
    <w:rsid w:val="495073A5"/>
    <w:rsid w:val="4B2B2981"/>
    <w:rsid w:val="4D774665"/>
    <w:rsid w:val="4E8F72D5"/>
    <w:rsid w:val="4F0E6BB9"/>
    <w:rsid w:val="547F3D1A"/>
    <w:rsid w:val="586935AA"/>
    <w:rsid w:val="58B76C3B"/>
    <w:rsid w:val="59D1422B"/>
    <w:rsid w:val="5B3339EB"/>
    <w:rsid w:val="5D904066"/>
    <w:rsid w:val="5E2F0926"/>
    <w:rsid w:val="5FD70580"/>
    <w:rsid w:val="609D4515"/>
    <w:rsid w:val="61D76ED5"/>
    <w:rsid w:val="61EB17C7"/>
    <w:rsid w:val="6B4079D3"/>
    <w:rsid w:val="6DB871B3"/>
    <w:rsid w:val="6FB91918"/>
    <w:rsid w:val="76B37931"/>
    <w:rsid w:val="774D148F"/>
    <w:rsid w:val="7AF401F9"/>
    <w:rsid w:val="7EE3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/>
      <w:numPr>
        <w:ilvl w:val="0"/>
        <w:numId w:val="1"/>
      </w:numPr>
      <w:adjustRightInd w:val="0"/>
      <w:spacing w:line="580" w:lineRule="atLeast"/>
      <w:ind w:firstLine="0" w:firstLineChars="0"/>
      <w:jc w:val="center"/>
      <w:textAlignment w:val="baseline"/>
      <w:outlineLvl w:val="0"/>
    </w:pPr>
    <w:rPr>
      <w:rFonts w:ascii="Times New Roman" w:hAnsi="Times New Roman" w:eastAsia="华康简标题宋"/>
      <w:kern w:val="44"/>
      <w:sz w:val="36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/>
      <w:numPr>
        <w:ilvl w:val="1"/>
        <w:numId w:val="1"/>
      </w:numPr>
      <w:adjustRightInd w:val="0"/>
      <w:spacing w:before="260" w:after="260" w:line="416" w:lineRule="atLeast"/>
      <w:ind w:firstLine="0" w:firstLineChars="0"/>
      <w:textAlignment w:val="baseline"/>
      <w:outlineLvl w:val="1"/>
    </w:pPr>
    <w:rPr>
      <w:rFonts w:ascii="Arial" w:hAnsi="Arial" w:eastAsia="黑体"/>
      <w:b/>
      <w:kern w:val="0"/>
      <w:sz w:val="32"/>
      <w:szCs w:val="20"/>
    </w:rPr>
  </w:style>
  <w:style w:type="paragraph" w:styleId="4">
    <w:name w:val="heading 3"/>
    <w:basedOn w:val="1"/>
    <w:next w:val="1"/>
    <w:link w:val="21"/>
    <w:qFormat/>
    <w:uiPriority w:val="0"/>
    <w:pPr>
      <w:keepNext/>
      <w:keepLines/>
      <w:widowControl/>
      <w:numPr>
        <w:ilvl w:val="2"/>
        <w:numId w:val="1"/>
      </w:numPr>
      <w:adjustRightInd w:val="0"/>
      <w:spacing w:before="260" w:after="260" w:line="416" w:lineRule="atLeast"/>
      <w:ind w:firstLine="0" w:firstLineChars="0"/>
      <w:textAlignment w:val="baseline"/>
      <w:outlineLvl w:val="2"/>
    </w:pPr>
    <w:rPr>
      <w:rFonts w:ascii="Times New Roman" w:hAnsi="Times New Roman" w:eastAsia="仿宋_GB2312"/>
      <w:b/>
      <w:kern w:val="0"/>
      <w:sz w:val="32"/>
      <w:szCs w:val="20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/>
      <w:numPr>
        <w:ilvl w:val="3"/>
        <w:numId w:val="1"/>
      </w:numPr>
      <w:adjustRightInd w:val="0"/>
      <w:spacing w:before="280" w:after="290" w:line="376" w:lineRule="atLeast"/>
      <w:ind w:firstLine="0" w:firstLineChars="0"/>
      <w:textAlignment w:val="baseline"/>
      <w:outlineLvl w:val="3"/>
    </w:pPr>
    <w:rPr>
      <w:rFonts w:ascii="Arial" w:hAnsi="Arial" w:eastAsia="黑体"/>
      <w:b/>
      <w:kern w:val="0"/>
      <w:sz w:val="28"/>
      <w:szCs w:val="20"/>
    </w:rPr>
  </w:style>
  <w:style w:type="paragraph" w:styleId="6">
    <w:name w:val="heading 5"/>
    <w:basedOn w:val="1"/>
    <w:next w:val="1"/>
    <w:link w:val="23"/>
    <w:qFormat/>
    <w:uiPriority w:val="0"/>
    <w:pPr>
      <w:keepNext/>
      <w:keepLines/>
      <w:widowControl/>
      <w:numPr>
        <w:ilvl w:val="4"/>
        <w:numId w:val="1"/>
      </w:numPr>
      <w:adjustRightInd w:val="0"/>
      <w:spacing w:before="280" w:after="290" w:line="376" w:lineRule="atLeast"/>
      <w:ind w:firstLine="0" w:firstLineChars="0"/>
      <w:textAlignment w:val="baseline"/>
      <w:outlineLvl w:val="4"/>
    </w:pPr>
    <w:rPr>
      <w:rFonts w:ascii="Times New Roman" w:hAnsi="Times New Roman" w:eastAsia="仿宋_GB2312"/>
      <w:b/>
      <w:kern w:val="0"/>
      <w:sz w:val="28"/>
      <w:szCs w:val="20"/>
    </w:rPr>
  </w:style>
  <w:style w:type="paragraph" w:styleId="7">
    <w:name w:val="heading 6"/>
    <w:basedOn w:val="1"/>
    <w:next w:val="1"/>
    <w:link w:val="24"/>
    <w:qFormat/>
    <w:uiPriority w:val="0"/>
    <w:pPr>
      <w:keepNext/>
      <w:keepLines/>
      <w:widowControl/>
      <w:numPr>
        <w:ilvl w:val="5"/>
        <w:numId w:val="1"/>
      </w:numPr>
      <w:adjustRightInd w:val="0"/>
      <w:spacing w:before="240" w:after="64" w:line="320" w:lineRule="atLeast"/>
      <w:ind w:firstLine="0" w:firstLineChars="0"/>
      <w:textAlignment w:val="baseline"/>
      <w:outlineLvl w:val="5"/>
    </w:pPr>
    <w:rPr>
      <w:rFonts w:ascii="Arial" w:hAnsi="Arial" w:eastAsia="黑体"/>
      <w:b/>
      <w:kern w:val="0"/>
      <w:szCs w:val="20"/>
    </w:rPr>
  </w:style>
  <w:style w:type="paragraph" w:styleId="8">
    <w:name w:val="heading 7"/>
    <w:basedOn w:val="1"/>
    <w:next w:val="1"/>
    <w:link w:val="25"/>
    <w:qFormat/>
    <w:uiPriority w:val="0"/>
    <w:pPr>
      <w:keepNext/>
      <w:keepLines/>
      <w:widowControl/>
      <w:numPr>
        <w:ilvl w:val="6"/>
        <w:numId w:val="1"/>
      </w:numPr>
      <w:adjustRightInd w:val="0"/>
      <w:spacing w:before="240" w:after="64" w:line="320" w:lineRule="atLeast"/>
      <w:ind w:firstLine="0" w:firstLineChars="0"/>
      <w:textAlignment w:val="baseline"/>
      <w:outlineLvl w:val="6"/>
    </w:pPr>
    <w:rPr>
      <w:rFonts w:ascii="Times New Roman" w:hAnsi="Times New Roman" w:eastAsia="仿宋_GB2312"/>
      <w:b/>
      <w:kern w:val="0"/>
      <w:szCs w:val="20"/>
    </w:rPr>
  </w:style>
  <w:style w:type="paragraph" w:styleId="9">
    <w:name w:val="heading 8"/>
    <w:basedOn w:val="1"/>
    <w:next w:val="1"/>
    <w:link w:val="26"/>
    <w:qFormat/>
    <w:uiPriority w:val="0"/>
    <w:pPr>
      <w:keepNext/>
      <w:keepLines/>
      <w:widowControl/>
      <w:numPr>
        <w:ilvl w:val="7"/>
        <w:numId w:val="1"/>
      </w:numPr>
      <w:adjustRightInd w:val="0"/>
      <w:spacing w:before="240" w:after="64" w:line="320" w:lineRule="atLeast"/>
      <w:ind w:firstLine="0" w:firstLineChars="0"/>
      <w:textAlignment w:val="baseline"/>
      <w:outlineLvl w:val="7"/>
    </w:pPr>
    <w:rPr>
      <w:rFonts w:ascii="Arial" w:hAnsi="Arial" w:eastAsia="黑体"/>
      <w:kern w:val="0"/>
      <w:szCs w:val="20"/>
    </w:rPr>
  </w:style>
  <w:style w:type="paragraph" w:styleId="10">
    <w:name w:val="heading 9"/>
    <w:basedOn w:val="1"/>
    <w:next w:val="1"/>
    <w:link w:val="27"/>
    <w:qFormat/>
    <w:uiPriority w:val="0"/>
    <w:pPr>
      <w:keepNext/>
      <w:keepLines/>
      <w:widowControl/>
      <w:numPr>
        <w:ilvl w:val="8"/>
        <w:numId w:val="1"/>
      </w:numPr>
      <w:adjustRightInd w:val="0"/>
      <w:spacing w:before="240" w:after="64" w:line="320" w:lineRule="atLeast"/>
      <w:ind w:firstLine="0" w:firstLineChars="0"/>
      <w:textAlignment w:val="baseline"/>
      <w:outlineLvl w:val="8"/>
    </w:pPr>
    <w:rPr>
      <w:rFonts w:ascii="Arial" w:hAnsi="Arial" w:eastAsia="黑体"/>
      <w:kern w:val="0"/>
      <w:sz w:val="21"/>
      <w:szCs w:val="20"/>
    </w:rPr>
  </w:style>
  <w:style w:type="character" w:default="1" w:styleId="14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2">
    <w:name w:val="footer"/>
    <w:basedOn w:val="1"/>
    <w:link w:val="29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3">
    <w:name w:val="header"/>
    <w:basedOn w:val="1"/>
    <w:link w:val="2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</w:rPr>
  </w:style>
  <w:style w:type="table" w:styleId="18">
    <w:name w:val="Table Grid"/>
    <w:basedOn w:val="1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标题 1 Char"/>
    <w:basedOn w:val="14"/>
    <w:link w:val="2"/>
    <w:qFormat/>
    <w:uiPriority w:val="0"/>
    <w:rPr>
      <w:rFonts w:ascii="Times New Roman" w:hAnsi="Times New Roman" w:eastAsia="华康简标题宋" w:cs="Times New Roman"/>
      <w:kern w:val="44"/>
      <w:sz w:val="36"/>
      <w:szCs w:val="20"/>
    </w:rPr>
  </w:style>
  <w:style w:type="character" w:customStyle="1" w:styleId="20">
    <w:name w:val="标题 2 Char"/>
    <w:basedOn w:val="14"/>
    <w:link w:val="3"/>
    <w:qFormat/>
    <w:uiPriority w:val="0"/>
    <w:rPr>
      <w:rFonts w:ascii="Arial" w:hAnsi="Arial" w:eastAsia="黑体" w:cs="Times New Roman"/>
      <w:b/>
      <w:kern w:val="0"/>
      <w:sz w:val="32"/>
      <w:szCs w:val="20"/>
    </w:rPr>
  </w:style>
  <w:style w:type="character" w:customStyle="1" w:styleId="21">
    <w:name w:val="标题 3 Char"/>
    <w:basedOn w:val="14"/>
    <w:link w:val="4"/>
    <w:qFormat/>
    <w:uiPriority w:val="0"/>
    <w:rPr>
      <w:rFonts w:ascii="Times New Roman" w:hAnsi="Times New Roman" w:eastAsia="仿宋_GB2312" w:cs="Times New Roman"/>
      <w:b/>
      <w:kern w:val="0"/>
      <w:sz w:val="32"/>
      <w:szCs w:val="20"/>
    </w:rPr>
  </w:style>
  <w:style w:type="character" w:customStyle="1" w:styleId="22">
    <w:name w:val="标题 4 Char"/>
    <w:basedOn w:val="14"/>
    <w:link w:val="5"/>
    <w:qFormat/>
    <w:uiPriority w:val="0"/>
    <w:rPr>
      <w:rFonts w:ascii="Arial" w:hAnsi="Arial" w:eastAsia="黑体" w:cs="Times New Roman"/>
      <w:b/>
      <w:kern w:val="0"/>
      <w:sz w:val="28"/>
      <w:szCs w:val="20"/>
    </w:rPr>
  </w:style>
  <w:style w:type="character" w:customStyle="1" w:styleId="23">
    <w:name w:val="标题 5 Char"/>
    <w:basedOn w:val="14"/>
    <w:link w:val="6"/>
    <w:qFormat/>
    <w:uiPriority w:val="0"/>
    <w:rPr>
      <w:rFonts w:ascii="Times New Roman" w:hAnsi="Times New Roman" w:eastAsia="仿宋_GB2312" w:cs="Times New Roman"/>
      <w:b/>
      <w:kern w:val="0"/>
      <w:sz w:val="28"/>
      <w:szCs w:val="20"/>
    </w:rPr>
  </w:style>
  <w:style w:type="character" w:customStyle="1" w:styleId="24">
    <w:name w:val="标题 6 Char"/>
    <w:basedOn w:val="14"/>
    <w:link w:val="7"/>
    <w:qFormat/>
    <w:uiPriority w:val="0"/>
    <w:rPr>
      <w:rFonts w:ascii="Arial" w:hAnsi="Arial" w:eastAsia="黑体" w:cs="Times New Roman"/>
      <w:b/>
      <w:kern w:val="0"/>
      <w:sz w:val="24"/>
      <w:szCs w:val="20"/>
    </w:rPr>
  </w:style>
  <w:style w:type="character" w:customStyle="1" w:styleId="25">
    <w:name w:val="标题 7 Char"/>
    <w:basedOn w:val="14"/>
    <w:link w:val="8"/>
    <w:qFormat/>
    <w:uiPriority w:val="0"/>
    <w:rPr>
      <w:rFonts w:ascii="Times New Roman" w:hAnsi="Times New Roman" w:eastAsia="仿宋_GB2312" w:cs="Times New Roman"/>
      <w:b/>
      <w:kern w:val="0"/>
      <w:sz w:val="24"/>
      <w:szCs w:val="20"/>
    </w:rPr>
  </w:style>
  <w:style w:type="character" w:customStyle="1" w:styleId="26">
    <w:name w:val="标题 8 Char"/>
    <w:basedOn w:val="14"/>
    <w:link w:val="9"/>
    <w:qFormat/>
    <w:uiPriority w:val="0"/>
    <w:rPr>
      <w:rFonts w:ascii="Arial" w:hAnsi="Arial" w:eastAsia="黑体" w:cs="Times New Roman"/>
      <w:kern w:val="0"/>
      <w:sz w:val="24"/>
      <w:szCs w:val="20"/>
    </w:rPr>
  </w:style>
  <w:style w:type="character" w:customStyle="1" w:styleId="27">
    <w:name w:val="标题 9 Char"/>
    <w:basedOn w:val="14"/>
    <w:link w:val="10"/>
    <w:qFormat/>
    <w:uiPriority w:val="0"/>
    <w:rPr>
      <w:rFonts w:ascii="Arial" w:hAnsi="Arial" w:eastAsia="黑体" w:cs="Times New Roman"/>
      <w:kern w:val="0"/>
      <w:szCs w:val="20"/>
    </w:rPr>
  </w:style>
  <w:style w:type="character" w:customStyle="1" w:styleId="28">
    <w:name w:val="页眉 Char"/>
    <w:basedOn w:val="14"/>
    <w:link w:val="13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9">
    <w:name w:val="页脚 Char"/>
    <w:basedOn w:val="14"/>
    <w:link w:val="12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30">
    <w:name w:val="批注框文本 Char"/>
    <w:basedOn w:val="14"/>
    <w:link w:val="11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31">
    <w:name w:val="列出段落1"/>
    <w:basedOn w:val="1"/>
    <w:qFormat/>
    <w:uiPriority w:val="0"/>
    <w:pPr>
      <w:ind w:firstLine="420"/>
    </w:pPr>
  </w:style>
  <w:style w:type="paragraph" w:customStyle="1" w:styleId="32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3">
    <w:name w:val="样式 仿宋_GB2312 四号"/>
    <w:basedOn w:val="14"/>
    <w:qFormat/>
    <w:uiPriority w:val="0"/>
    <w:rPr>
      <w:rFonts w:ascii="Times New Roman" w:hAnsi="Times New Roman" w:eastAsia="仿宋_GB2312"/>
      <w:sz w:val="28"/>
    </w:rPr>
  </w:style>
  <w:style w:type="character" w:customStyle="1" w:styleId="34">
    <w:name w:val="正文3 Char"/>
    <w:basedOn w:val="14"/>
    <w:link w:val="35"/>
    <w:qFormat/>
    <w:uiPriority w:val="0"/>
    <w:rPr>
      <w:rFonts w:eastAsia="仿宋_GB2312"/>
      <w:sz w:val="28"/>
    </w:rPr>
  </w:style>
  <w:style w:type="paragraph" w:customStyle="1" w:styleId="35">
    <w:name w:val="正文3"/>
    <w:basedOn w:val="1"/>
    <w:link w:val="34"/>
    <w:qFormat/>
    <w:uiPriority w:val="0"/>
    <w:rPr>
      <w:rFonts w:eastAsia="仿宋_GB2312" w:asciiTheme="minorHAnsi" w:hAnsiTheme="minorHAnsi" w:cstheme="minorBidi"/>
      <w:sz w:val="28"/>
    </w:rPr>
  </w:style>
  <w:style w:type="paragraph" w:customStyle="1" w:styleId="36">
    <w:name w:val="列出段落2"/>
    <w:basedOn w:val="1"/>
    <w:unhideWhenUsed/>
    <w:qFormat/>
    <w:uiPriority w:val="99"/>
    <w:pPr>
      <w:ind w:firstLine="420"/>
    </w:pPr>
  </w:style>
  <w:style w:type="paragraph" w:customStyle="1" w:styleId="37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4</Pages>
  <Words>237</Words>
  <Characters>1357</Characters>
  <Lines>11</Lines>
  <Paragraphs>3</Paragraphs>
  <ScaleCrop>false</ScaleCrop>
  <LinksUpToDate>false</LinksUpToDate>
  <CharactersWithSpaces>1591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2016-12-22T08:49:00Z</dcterms:created>
  <dc:creator>Chinese User</dc:creator>
  <cp:lastModifiedBy>Administrator</cp:lastModifiedBy>
  <cp:lastPrinted>2017-06-13T08:31:00Z</cp:lastPrinted>
  <dcterms:modified xsi:type="dcterms:W3CDTF">2017-06-21T07:52:17Z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