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7</w:t>
      </w:r>
      <w:bookmarkStart w:id="16" w:name="_GoBack"/>
      <w:bookmarkEnd w:id="16"/>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left"/>
        <w:textAlignment w:val="auto"/>
        <w:outlineLvl w:val="0"/>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0"/>
        <w:rPr>
          <w:rFonts w:ascii="Times New Roman" w:hAnsi="Times New Roman" w:eastAsia="华康简标题宋"/>
          <w:sz w:val="44"/>
          <w:szCs w:val="44"/>
        </w:rPr>
      </w:pPr>
      <w:r>
        <w:rPr>
          <w:rFonts w:hint="eastAsia" w:ascii="Times New Roman" w:hAnsi="Times New Roman" w:eastAsia="华康简标题宋"/>
          <w:sz w:val="44"/>
          <w:szCs w:val="44"/>
          <w:lang w:eastAsia="zh-CN"/>
        </w:rPr>
        <w:t>东莞市</w:t>
      </w:r>
      <w:r>
        <w:rPr>
          <w:rFonts w:ascii="Times New Roman" w:hAnsi="Times New Roman" w:eastAsia="华康简标题宋"/>
          <w:sz w:val="44"/>
          <w:szCs w:val="44"/>
        </w:rPr>
        <w:t>工业支柱产业及特色产业</w:t>
      </w:r>
      <w:r>
        <w:rPr>
          <w:rFonts w:hint="eastAsia" w:ascii="Times New Roman" w:hAnsi="Times New Roman" w:eastAsia="华康简标题宋"/>
          <w:sz w:val="44"/>
          <w:szCs w:val="44"/>
        </w:rPr>
        <w:t>情况</w:t>
      </w:r>
    </w:p>
    <w:p>
      <w:pPr>
        <w:spacing w:line="560" w:lineRule="exact"/>
        <w:ind w:firstLine="643"/>
        <w:jc w:val="center"/>
        <w:rPr>
          <w:rFonts w:ascii="Times New Roman" w:hAnsi="Times New Roman" w:eastAsia="仿宋_GB2312"/>
          <w:b/>
          <w:sz w:val="32"/>
          <w:szCs w:val="32"/>
        </w:rPr>
      </w:pPr>
    </w:p>
    <w:p>
      <w:pPr>
        <w:pStyle w:val="11"/>
        <w:ind w:firstLine="640"/>
        <w:rPr>
          <w:b w:val="0"/>
          <w:bCs w:val="0"/>
          <w:sz w:val="32"/>
          <w:szCs w:val="32"/>
        </w:rPr>
      </w:pPr>
      <w:r>
        <w:rPr>
          <w:b w:val="0"/>
          <w:bCs w:val="0"/>
          <w:sz w:val="32"/>
          <w:szCs w:val="32"/>
        </w:rPr>
        <w:t>全国统计的41个大类工业行业中，我市涉及生产32个大类，形成了电子信息制造业、电气机械及设备制造业、纺织服装鞋帽制造业、食品饮料加工制造业、造纸和纸制品业五大支柱产业，以及玩具及文体用品制造业、家具制造业、化工制造业、包装印刷业四个特色产业。2016年，我市五大支柱产业和四大特色产业规模以上工业企业共4314家，合计完成规模以上工业增加值2233.7亿元，占全市规上工业增加值的77.6%，对我市工业经济增长贡献率为81.3%，仍是经济增长的重要支撑。随着我市供给侧结构性改革有序推进，以电子信息制造业为代表的现代制造业对增长贡献提升。</w:t>
      </w:r>
    </w:p>
    <w:p>
      <w:pPr>
        <w:pStyle w:val="11"/>
        <w:rPr>
          <w:b w:val="0"/>
          <w:bCs w:val="0"/>
          <w:sz w:val="32"/>
          <w:szCs w:val="32"/>
        </w:rPr>
      </w:pPr>
      <w:r>
        <w:rPr>
          <w:b w:val="0"/>
          <w:bCs w:val="0"/>
          <w:sz w:val="32"/>
          <w:szCs w:val="32"/>
        </w:rPr>
        <w:t>与此同时，在各个产业中已经涌现出一批具有较高竞争力和较强带动能力的龙头企业。2016年，全市规上企业数超过5800家；拥有国家高新技术企业1500家，在全省地级市排名第一。主营收入1000亿元企业实现零的突破，500亿元、100亿元、50亿元企业分别增至3家、11家和31家，超10亿元企业数位居全省地级市首位，拥有境内外上市企业33家。新三板挂牌企业168家，总量居全省地级市首位、全国地级市第三。</w:t>
      </w:r>
    </w:p>
    <w:p>
      <w:pPr>
        <w:spacing w:line="600" w:lineRule="exact"/>
        <w:ind w:firstLine="560"/>
        <w:jc w:val="left"/>
        <w:outlineLvl w:val="1"/>
        <w:rPr>
          <w:b w:val="0"/>
          <w:bCs w:val="0"/>
          <w:sz w:val="32"/>
          <w:szCs w:val="32"/>
        </w:rPr>
      </w:pPr>
      <w:r>
        <w:rPr>
          <w:rFonts w:ascii="Times New Roman" w:hAnsi="Times New Roman" w:eastAsia="黑体"/>
          <w:color w:val="000000"/>
          <w:sz w:val="32"/>
          <w:szCs w:val="32"/>
        </w:rPr>
        <w:t>一、</w:t>
      </w:r>
      <w:r>
        <w:rPr>
          <w:rFonts w:hint="eastAsia" w:ascii="Times New Roman" w:hAnsi="Times New Roman" w:eastAsia="黑体"/>
          <w:color w:val="000000"/>
          <w:sz w:val="32"/>
          <w:szCs w:val="32"/>
          <w:lang w:eastAsia="zh-CN"/>
        </w:rPr>
        <w:t>五大支柱产业</w:t>
      </w:r>
    </w:p>
    <w:p>
      <w:pPr>
        <w:keepNext w:val="0"/>
        <w:keepLines w:val="0"/>
        <w:pageBreakBefore w:val="0"/>
        <w:widowControl w:val="0"/>
        <w:numPr>
          <w:ilvl w:val="0"/>
          <w:numId w:val="1"/>
        </w:numPr>
        <w:kinsoku/>
        <w:wordWrap/>
        <w:overflowPunct/>
        <w:topLinePunct w:val="0"/>
        <w:bidi w:val="0"/>
        <w:snapToGrid/>
        <w:spacing w:line="600" w:lineRule="exact"/>
        <w:ind w:left="0" w:leftChars="0" w:right="0" w:rightChars="0" w:firstLine="640" w:firstLineChars="200"/>
        <w:jc w:val="left"/>
        <w:textAlignment w:val="auto"/>
        <w:outlineLvl w:val="1"/>
        <w:rPr>
          <w:rFonts w:hint="eastAsia" w:ascii="仿宋_GB2312" w:hAnsi="仿宋_GB2312" w:eastAsia="仿宋_GB2312" w:cs="仿宋_GB2312"/>
          <w:color w:val="000000"/>
          <w:kern w:val="0"/>
          <w:sz w:val="32"/>
          <w:szCs w:val="32"/>
        </w:rPr>
      </w:pPr>
      <w:bookmarkStart w:id="0" w:name="_Toc301540391"/>
      <w:r>
        <w:rPr>
          <w:rFonts w:hint="eastAsia" w:ascii="仿宋_GB2312" w:hAnsi="仿宋_GB2312" w:eastAsia="仿宋_GB2312" w:cs="仿宋_GB2312"/>
          <w:color w:val="000000"/>
          <w:sz w:val="32"/>
          <w:szCs w:val="32"/>
        </w:rPr>
        <w:t>电子信息制造业</w:t>
      </w:r>
      <w:bookmarkEnd w:id="0"/>
    </w:p>
    <w:p>
      <w:pPr>
        <w:spacing w:line="600" w:lineRule="exact"/>
        <w:ind w:firstLine="560"/>
        <w:rPr>
          <w:rFonts w:ascii="Times New Roman" w:hAnsi="Times New Roman" w:eastAsia="仿宋_GB2312"/>
          <w:color w:val="000000"/>
          <w:sz w:val="32"/>
          <w:szCs w:val="32"/>
        </w:rPr>
      </w:pPr>
      <w:r>
        <w:rPr>
          <w:rFonts w:ascii="Times New Roman" w:hAnsi="Times New Roman" w:eastAsia="仿宋_GB2312"/>
          <w:color w:val="000000"/>
          <w:sz w:val="32"/>
          <w:szCs w:val="32"/>
        </w:rPr>
        <w:t>通过承接国际产业转移，电子信息制造业快速发展，其经济总量始终在东莞工业中占具绝对优势。产业链完善，产业配套能力强，形成了较成熟的产业集群。201</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rPr>
        <w:t>电子信息制造业实现规模以上工业增加值974.28亿元，同比增长19.2%，</w:t>
      </w:r>
      <w:r>
        <w:rPr>
          <w:rFonts w:ascii="Times New Roman" w:hAnsi="Times New Roman" w:eastAsia="仿宋_GB2312"/>
          <w:color w:val="000000"/>
          <w:sz w:val="32"/>
          <w:szCs w:val="32"/>
        </w:rPr>
        <w:t>完成</w:t>
      </w:r>
      <w:r>
        <w:rPr>
          <w:rFonts w:hint="eastAsia" w:ascii="Times New Roman" w:hAnsi="Times New Roman" w:eastAsia="仿宋_GB2312"/>
          <w:color w:val="000000"/>
          <w:sz w:val="32"/>
          <w:szCs w:val="32"/>
        </w:rPr>
        <w:t>主营业务收入7039.52</w:t>
      </w:r>
      <w:r>
        <w:rPr>
          <w:rFonts w:ascii="Times New Roman" w:hAnsi="Times New Roman" w:eastAsia="仿宋_GB2312"/>
          <w:color w:val="000000"/>
          <w:sz w:val="32"/>
          <w:szCs w:val="32"/>
        </w:rPr>
        <w:t>亿元</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该产业的区际影响力以及发展潜力也在不断增强，无论是产业规模</w:t>
      </w:r>
      <w:r>
        <w:rPr>
          <w:rFonts w:hint="eastAsia" w:ascii="Times New Roman" w:hAnsi="Times New Roman" w:eastAsia="仿宋_GB2312"/>
          <w:color w:val="000000"/>
          <w:sz w:val="32"/>
          <w:szCs w:val="32"/>
        </w:rPr>
        <w:t>还是</w:t>
      </w:r>
      <w:r>
        <w:rPr>
          <w:rFonts w:ascii="Times New Roman" w:hAnsi="Times New Roman" w:eastAsia="仿宋_GB2312"/>
          <w:color w:val="000000"/>
          <w:sz w:val="32"/>
          <w:szCs w:val="32"/>
        </w:rPr>
        <w:t>产业发展速度</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在全省均名列前茅。</w:t>
      </w:r>
      <w:r>
        <w:rPr>
          <w:rFonts w:hint="eastAsia" w:ascii="Times New Roman" w:hAnsi="Times New Roman" w:eastAsia="仿宋_GB2312"/>
          <w:color w:val="000000"/>
          <w:sz w:val="32"/>
          <w:szCs w:val="32"/>
        </w:rPr>
        <w:t>主要特点如下：</w:t>
      </w:r>
    </w:p>
    <w:p>
      <w:pPr>
        <w:widowControl/>
        <w:spacing w:line="560" w:lineRule="exact"/>
        <w:ind w:firstLine="560"/>
        <w:rPr>
          <w:rFonts w:ascii="Times New Roman" w:hAnsi="Times New Roman" w:eastAsia="仿宋_GB2312"/>
          <w:color w:val="00B050"/>
          <w:sz w:val="32"/>
          <w:szCs w:val="32"/>
        </w:rPr>
      </w:pPr>
      <w:r>
        <w:rPr>
          <w:rFonts w:hint="eastAsia" w:ascii="Times New Roman" w:hAnsi="Times New Roman" w:eastAsia="仿宋_GB2312"/>
          <w:color w:val="000000"/>
          <w:sz w:val="32"/>
          <w:szCs w:val="32"/>
        </w:rPr>
        <w:t>1</w:t>
      </w:r>
      <w:r>
        <w:rPr>
          <w:rFonts w:hint="eastAsia" w:ascii="Times New Roman" w:eastAsia="仿宋_GB2312"/>
          <w:color w:val="000000"/>
          <w:sz w:val="32"/>
          <w:szCs w:val="32"/>
        </w:rPr>
        <w:t>、</w:t>
      </w:r>
      <w:r>
        <w:rPr>
          <w:rFonts w:ascii="Times New Roman" w:eastAsia="仿宋_GB2312"/>
          <w:color w:val="000000"/>
          <w:sz w:val="32"/>
          <w:szCs w:val="32"/>
        </w:rPr>
        <w:t>产业规模优势明显。</w:t>
      </w:r>
      <w:r>
        <w:rPr>
          <w:rFonts w:ascii="Times New Roman" w:hAnsi="Times New Roman" w:eastAsia="仿宋_GB2312"/>
          <w:color w:val="000000"/>
          <w:sz w:val="32"/>
          <w:szCs w:val="32"/>
        </w:rPr>
        <w:t>201</w:t>
      </w:r>
      <w:r>
        <w:rPr>
          <w:rFonts w:hint="eastAsia" w:ascii="Times New Roman" w:hAnsi="Times New Roman" w:eastAsia="仿宋_GB2312"/>
          <w:color w:val="000000"/>
          <w:sz w:val="32"/>
          <w:szCs w:val="32"/>
        </w:rPr>
        <w:t>6</w:t>
      </w:r>
      <w:r>
        <w:rPr>
          <w:rFonts w:ascii="Times New Roman" w:eastAsia="仿宋_GB2312"/>
          <w:color w:val="000000"/>
          <w:sz w:val="32"/>
          <w:szCs w:val="32"/>
        </w:rPr>
        <w:t>年，东莞电子信息制造业有规模以上企业</w:t>
      </w:r>
      <w:r>
        <w:rPr>
          <w:rFonts w:hint="eastAsia" w:ascii="Times New Roman" w:hAnsi="Times New Roman" w:eastAsia="仿宋_GB2312"/>
          <w:color w:val="000000"/>
          <w:sz w:val="32"/>
          <w:szCs w:val="32"/>
        </w:rPr>
        <w:t>1018</w:t>
      </w:r>
      <w:r>
        <w:rPr>
          <w:rFonts w:ascii="Times New Roman" w:eastAsia="仿宋_GB2312"/>
          <w:color w:val="000000"/>
          <w:sz w:val="32"/>
          <w:szCs w:val="32"/>
        </w:rPr>
        <w:t>家，占全市规模以上制造业企业总量的</w:t>
      </w:r>
      <w:r>
        <w:rPr>
          <w:rFonts w:hint="eastAsia" w:ascii="Times New Roman" w:hAnsi="Times New Roman" w:eastAsia="仿宋_GB2312"/>
          <w:color w:val="000000"/>
          <w:sz w:val="32"/>
          <w:szCs w:val="32"/>
        </w:rPr>
        <w:t>18.1</w:t>
      </w:r>
      <w:r>
        <w:rPr>
          <w:rFonts w:ascii="Times New Roman" w:hAnsi="Times New Roman" w:eastAsia="仿宋_GB2312"/>
          <w:color w:val="000000"/>
          <w:sz w:val="32"/>
          <w:szCs w:val="32"/>
        </w:rPr>
        <w:t>%</w:t>
      </w:r>
      <w:r>
        <w:rPr>
          <w:rFonts w:ascii="Times New Roman" w:eastAsia="仿宋_GB2312"/>
          <w:color w:val="000000"/>
          <w:sz w:val="32"/>
          <w:szCs w:val="32"/>
        </w:rPr>
        <w:t>；完成</w:t>
      </w:r>
      <w:r>
        <w:rPr>
          <w:rFonts w:hint="eastAsia" w:ascii="Times New Roman" w:eastAsia="仿宋_GB2312"/>
          <w:color w:val="000000"/>
          <w:sz w:val="32"/>
          <w:szCs w:val="32"/>
        </w:rPr>
        <w:t>主营业务收入</w:t>
      </w:r>
      <w:r>
        <w:rPr>
          <w:rFonts w:hint="eastAsia" w:ascii="Times New Roman" w:hAnsi="Times New Roman" w:eastAsia="仿宋_GB2312"/>
          <w:color w:val="000000"/>
          <w:sz w:val="32"/>
          <w:szCs w:val="32"/>
        </w:rPr>
        <w:t>7039.52</w:t>
      </w:r>
      <w:r>
        <w:rPr>
          <w:rFonts w:ascii="Times New Roman" w:eastAsia="仿宋_GB2312"/>
          <w:color w:val="000000"/>
          <w:sz w:val="32"/>
          <w:szCs w:val="32"/>
        </w:rPr>
        <w:t>亿元，占</w:t>
      </w:r>
      <w:r>
        <w:rPr>
          <w:rFonts w:hint="eastAsia" w:ascii="Times New Roman" w:eastAsia="仿宋_GB2312"/>
          <w:color w:val="000000"/>
          <w:sz w:val="32"/>
          <w:szCs w:val="32"/>
        </w:rPr>
        <w:t>规模以上工业主营业务收入</w:t>
      </w:r>
      <w:r>
        <w:rPr>
          <w:rFonts w:ascii="Times New Roman" w:eastAsia="仿宋_GB2312"/>
          <w:color w:val="000000"/>
          <w:sz w:val="32"/>
          <w:szCs w:val="32"/>
        </w:rPr>
        <w:t>的</w:t>
      </w:r>
      <w:r>
        <w:rPr>
          <w:rFonts w:hint="eastAsia" w:ascii="Times New Roman" w:hAnsi="Times New Roman" w:eastAsia="仿宋_GB2312"/>
          <w:color w:val="000000"/>
          <w:sz w:val="32"/>
          <w:szCs w:val="32"/>
        </w:rPr>
        <w:t>48.5</w:t>
      </w:r>
      <w:r>
        <w:rPr>
          <w:rFonts w:ascii="Times New Roman" w:hAnsi="Times New Roman" w:eastAsia="仿宋_GB2312"/>
          <w:color w:val="000000"/>
          <w:sz w:val="32"/>
          <w:szCs w:val="32"/>
        </w:rPr>
        <w:t>%</w:t>
      </w:r>
      <w:r>
        <w:rPr>
          <w:rFonts w:ascii="Times New Roman" w:eastAsia="仿宋_GB2312"/>
          <w:color w:val="000000"/>
          <w:sz w:val="32"/>
          <w:szCs w:val="32"/>
        </w:rPr>
        <w:t>。从珠三角城市看，东莞市电子信息制造业规模仅次于深圳，位居第二。</w:t>
      </w:r>
      <w:r>
        <w:rPr>
          <w:rFonts w:hint="eastAsia" w:ascii="Times New Roman" w:hAnsi="Times New Roman" w:eastAsia="仿宋_GB2312"/>
          <w:color w:val="000000"/>
          <w:sz w:val="32"/>
          <w:szCs w:val="32"/>
        </w:rPr>
        <w:t>2016</w:t>
      </w:r>
      <w:r>
        <w:rPr>
          <w:rFonts w:hint="eastAsia" w:ascii="Times New Roman" w:eastAsia="仿宋_GB2312"/>
          <w:color w:val="000000"/>
          <w:sz w:val="32"/>
          <w:szCs w:val="32"/>
        </w:rPr>
        <w:t>年全市</w:t>
      </w:r>
      <w:r>
        <w:rPr>
          <w:rFonts w:ascii="Times New Roman" w:eastAsia="仿宋_GB2312"/>
          <w:color w:val="000000"/>
          <w:sz w:val="32"/>
          <w:szCs w:val="32"/>
        </w:rPr>
        <w:t>智能手机年出货量达</w:t>
      </w:r>
      <w:r>
        <w:rPr>
          <w:rFonts w:hint="eastAsia" w:ascii="Times New Roman" w:hAnsi="Times New Roman" w:eastAsia="仿宋_GB2312"/>
          <w:color w:val="000000"/>
          <w:sz w:val="32"/>
          <w:szCs w:val="32"/>
        </w:rPr>
        <w:t>3.02</w:t>
      </w:r>
      <w:r>
        <w:rPr>
          <w:rFonts w:ascii="Times New Roman" w:eastAsia="仿宋_GB2312"/>
          <w:color w:val="000000"/>
          <w:sz w:val="32"/>
          <w:szCs w:val="32"/>
        </w:rPr>
        <w:t>亿部，</w:t>
      </w:r>
      <w:r>
        <w:rPr>
          <w:rFonts w:hint="eastAsia" w:ascii="Times New Roman" w:eastAsia="仿宋_GB2312"/>
          <w:color w:val="000000"/>
          <w:sz w:val="32"/>
          <w:szCs w:val="32"/>
        </w:rPr>
        <w:t>约</w:t>
      </w:r>
      <w:r>
        <w:rPr>
          <w:rFonts w:ascii="Times New Roman" w:eastAsia="仿宋_GB2312"/>
          <w:color w:val="000000"/>
          <w:sz w:val="32"/>
          <w:szCs w:val="32"/>
        </w:rPr>
        <w:t>占全球的</w:t>
      </w:r>
      <w:r>
        <w:rPr>
          <w:rFonts w:hint="eastAsia" w:ascii="Times New Roman" w:hAnsi="Times New Roman" w:eastAsia="仿宋_GB2312"/>
          <w:color w:val="000000"/>
          <w:sz w:val="32"/>
          <w:szCs w:val="32"/>
        </w:rPr>
        <w:t>20.5</w:t>
      </w:r>
      <w:r>
        <w:rPr>
          <w:rFonts w:ascii="Times New Roman" w:hAnsi="Times New Roman" w:eastAsia="仿宋_GB2312"/>
          <w:color w:val="000000"/>
          <w:sz w:val="32"/>
          <w:szCs w:val="32"/>
        </w:rPr>
        <w:t>%</w:t>
      </w:r>
      <w:r>
        <w:rPr>
          <w:rFonts w:ascii="Times New Roman" w:eastAsia="仿宋_GB2312"/>
          <w:color w:val="000000"/>
          <w:sz w:val="32"/>
          <w:szCs w:val="32"/>
        </w:rPr>
        <w:t>。</w:t>
      </w:r>
    </w:p>
    <w:p>
      <w:pPr>
        <w:spacing w:line="600" w:lineRule="exact"/>
        <w:ind w:firstLine="560"/>
        <w:jc w:val="left"/>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w:t>
      </w:r>
      <w:r>
        <w:rPr>
          <w:rFonts w:ascii="Times New Roman" w:hAnsi="Times New Roman" w:eastAsia="仿宋_GB2312"/>
          <w:color w:val="000000"/>
          <w:sz w:val="32"/>
          <w:szCs w:val="32"/>
        </w:rPr>
        <w:t>产业配套和集聚优势明显。东莞的市电子信息制造业链完善，配套能力强，以电脑零部件及周边设备、电子元器件为主，配套率高达95%，形成了较成熟的产业集群，已成为全球性电子信息产品制造基地，产业链环节基本涵盖从产品设计到产品制造和检测，从基础零部件到终端产品制造，从消费类产品到投资类产品的完整的电子信息制造业体系，尤其在上游配套产品方面优势十分明显，具备将科研成果迅速产业化的能力。东莞已有石龙和石碣两个电子信息制造业集群被认定为省产业集群示范区。同时，一批电子信息大镇集聚能力也不断提升。</w:t>
      </w:r>
    </w:p>
    <w:p>
      <w:pPr>
        <w:ind w:firstLine="560"/>
        <w:rPr>
          <w:rFonts w:ascii="Times New Roman" w:hAnsi="Times New Roman"/>
          <w:color w:val="00B05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企业规模优势明显。201</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年，电子信息制造业规模以上企业户均</w:t>
      </w:r>
      <w:r>
        <w:rPr>
          <w:rFonts w:hint="eastAsia" w:ascii="Times New Roman" w:hAnsi="Times New Roman" w:eastAsia="仿宋_GB2312"/>
          <w:color w:val="000000"/>
          <w:sz w:val="32"/>
          <w:szCs w:val="32"/>
        </w:rPr>
        <w:t>主营业务收入</w:t>
      </w:r>
      <w:r>
        <w:rPr>
          <w:rFonts w:ascii="Times New Roman" w:hAnsi="Times New Roman" w:eastAsia="仿宋_GB2312"/>
          <w:color w:val="000000"/>
          <w:sz w:val="32"/>
          <w:szCs w:val="32"/>
        </w:rPr>
        <w:t>为</w:t>
      </w:r>
      <w:r>
        <w:rPr>
          <w:rFonts w:hint="eastAsia" w:ascii="Times New Roman" w:hAnsi="Times New Roman" w:eastAsia="仿宋_GB2312"/>
          <w:color w:val="000000"/>
          <w:sz w:val="32"/>
          <w:szCs w:val="32"/>
        </w:rPr>
        <w:t>6.92</w:t>
      </w:r>
      <w:r>
        <w:rPr>
          <w:rFonts w:ascii="Times New Roman" w:hAnsi="Times New Roman" w:eastAsia="仿宋_GB2312"/>
          <w:color w:val="000000"/>
          <w:sz w:val="32"/>
          <w:szCs w:val="32"/>
        </w:rPr>
        <w:t>亿元，是全市制造业平均水平（</w:t>
      </w:r>
      <w:r>
        <w:rPr>
          <w:rFonts w:hint="eastAsia" w:ascii="Times New Roman" w:hAnsi="Times New Roman" w:eastAsia="仿宋_GB2312"/>
          <w:color w:val="000000"/>
          <w:sz w:val="32"/>
          <w:szCs w:val="32"/>
        </w:rPr>
        <w:t>2.57</w:t>
      </w:r>
      <w:r>
        <w:rPr>
          <w:rFonts w:ascii="Times New Roman" w:hAnsi="Times New Roman" w:eastAsia="仿宋_GB2312"/>
          <w:color w:val="000000"/>
          <w:sz w:val="32"/>
          <w:szCs w:val="32"/>
        </w:rPr>
        <w:t>亿元）的2</w:t>
      </w:r>
      <w:r>
        <w:rPr>
          <w:rFonts w:hint="eastAsia" w:ascii="Times New Roman" w:hAnsi="Times New Roman" w:eastAsia="仿宋_GB2312"/>
          <w:color w:val="000000"/>
          <w:sz w:val="32"/>
          <w:szCs w:val="32"/>
        </w:rPr>
        <w:t>.7</w:t>
      </w:r>
      <w:r>
        <w:rPr>
          <w:rFonts w:ascii="Times New Roman" w:hAnsi="Times New Roman" w:eastAsia="仿宋_GB2312"/>
          <w:color w:val="000000"/>
          <w:sz w:val="32"/>
          <w:szCs w:val="32"/>
        </w:rPr>
        <w:t>倍。三星、台达、京瓷、日立、先锋等一批世界500强企业以及</w:t>
      </w:r>
      <w:r>
        <w:rPr>
          <w:rFonts w:hint="eastAsia" w:ascii="Times New Roman" w:hAnsi="Times New Roman" w:eastAsia="仿宋_GB2312"/>
          <w:color w:val="000000"/>
          <w:sz w:val="32"/>
          <w:szCs w:val="32"/>
        </w:rPr>
        <w:t>华为终端</w:t>
      </w:r>
      <w:r>
        <w:rPr>
          <w:rStyle w:val="7"/>
          <w:rFonts w:hint="eastAsia"/>
          <w:color w:val="000000"/>
          <w:sz w:val="32"/>
          <w:szCs w:val="32"/>
        </w:rPr>
        <w:t>、</w:t>
      </w:r>
      <w:r>
        <w:rPr>
          <w:rFonts w:ascii="Times New Roman" w:hAnsi="Times New Roman" w:eastAsia="仿宋_GB2312"/>
          <w:color w:val="000000"/>
          <w:sz w:val="32"/>
          <w:szCs w:val="32"/>
        </w:rPr>
        <w:t>步步高等国内知名企业成为产业的龙头企业。产业集中度（指规模最大的前五名企业产值占全行业产值的比重，下同）保持在一个相对较高的水平</w:t>
      </w:r>
      <w:r>
        <w:rPr>
          <w:rFonts w:hint="eastAsia" w:ascii="Times New Roman" w:hAnsi="Times New Roman" w:eastAsia="仿宋_GB2312"/>
          <w:color w:val="000000"/>
          <w:sz w:val="32"/>
          <w:szCs w:val="32"/>
        </w:rPr>
        <w:t>。</w:t>
      </w:r>
    </w:p>
    <w:p>
      <w:pPr>
        <w:pStyle w:val="8"/>
        <w:spacing w:line="600" w:lineRule="exact"/>
        <w:ind w:firstLine="560"/>
        <w:rPr>
          <w:rStyle w:val="7"/>
          <w:color w:val="000000"/>
          <w:sz w:val="32"/>
          <w:szCs w:val="32"/>
        </w:rPr>
      </w:pPr>
      <w:r>
        <w:rPr>
          <w:rFonts w:hint="eastAsia"/>
          <w:color w:val="000000"/>
          <w:sz w:val="32"/>
          <w:szCs w:val="32"/>
        </w:rPr>
        <w:t>4、</w:t>
      </w:r>
      <w:r>
        <w:rPr>
          <w:color w:val="000000"/>
          <w:sz w:val="32"/>
          <w:szCs w:val="32"/>
        </w:rPr>
        <w:t>新兴产业势头良好。</w:t>
      </w:r>
      <w:r>
        <w:rPr>
          <w:rStyle w:val="7"/>
          <w:color w:val="000000"/>
          <w:sz w:val="32"/>
          <w:szCs w:val="32"/>
        </w:rPr>
        <w:t>目前东莞新兴产业规模较小，但发展速度很快，产业发展正处于起步阶段。新一代移动通信、电子元器件等产业中，</w:t>
      </w:r>
      <w:r>
        <w:rPr>
          <w:rStyle w:val="7"/>
          <w:rFonts w:hint="eastAsia"/>
          <w:color w:val="000000"/>
          <w:sz w:val="32"/>
          <w:szCs w:val="32"/>
        </w:rPr>
        <w:t>华为终端</w:t>
      </w:r>
      <w:r>
        <w:rPr>
          <w:rStyle w:val="7"/>
          <w:color w:val="000000"/>
          <w:sz w:val="32"/>
          <w:szCs w:val="32"/>
        </w:rPr>
        <w:t>、</w:t>
      </w:r>
      <w:r>
        <w:rPr>
          <w:rStyle w:val="7"/>
          <w:rFonts w:hint="eastAsia"/>
          <w:color w:val="000000"/>
          <w:sz w:val="32"/>
          <w:szCs w:val="32"/>
        </w:rPr>
        <w:t>步步高电子、</w:t>
      </w:r>
      <w:r>
        <w:rPr>
          <w:rStyle w:val="7"/>
          <w:color w:val="000000"/>
          <w:sz w:val="32"/>
          <w:szCs w:val="32"/>
        </w:rPr>
        <w:t>生益科技等企业拥有快速成长的潜力以及较强的核心竞争力，在全国处于领先地位，为东莞</w:t>
      </w:r>
      <w:r>
        <w:rPr>
          <w:color w:val="000000"/>
          <w:sz w:val="32"/>
          <w:szCs w:val="32"/>
        </w:rPr>
        <w:t>高端新型电子信息制造业发展打下了良好的基础。</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600" w:lineRule="exact"/>
        <w:ind w:left="0" w:leftChars="0" w:right="0" w:rightChars="0" w:firstLine="640" w:firstLineChars="200"/>
        <w:textAlignment w:val="auto"/>
        <w:outlineLvl w:val="1"/>
        <w:rPr>
          <w:rFonts w:hint="eastAsia" w:ascii="仿宋_GB2312" w:hAnsi="仿宋_GB2312" w:eastAsia="仿宋_GB2312" w:cs="仿宋_GB2312"/>
          <w:color w:val="000000"/>
          <w:kern w:val="0"/>
          <w:sz w:val="32"/>
          <w:szCs w:val="32"/>
        </w:rPr>
      </w:pPr>
      <w:bookmarkStart w:id="1" w:name="_Toc294768298"/>
      <w:bookmarkStart w:id="2" w:name="_Toc301540392"/>
      <w:r>
        <w:rPr>
          <w:rFonts w:hint="eastAsia" w:ascii="仿宋_GB2312" w:hAnsi="仿宋_GB2312" w:eastAsia="仿宋_GB2312" w:cs="仿宋_GB2312"/>
          <w:color w:val="000000"/>
          <w:kern w:val="0"/>
          <w:sz w:val="32"/>
          <w:szCs w:val="32"/>
        </w:rPr>
        <w:t>电气机械及设备制造业</w:t>
      </w:r>
      <w:bookmarkEnd w:id="1"/>
      <w:bookmarkEnd w:id="2"/>
    </w:p>
    <w:p>
      <w:pPr>
        <w:autoSpaceDE w:val="0"/>
        <w:autoSpaceDN w:val="0"/>
        <w:adjustRightInd w:val="0"/>
        <w:spacing w:line="600" w:lineRule="exact"/>
        <w:ind w:firstLine="560"/>
        <w:rPr>
          <w:rFonts w:ascii="Times New Roman" w:hAnsi="Times New Roman" w:eastAsia="仿宋_GB2312"/>
          <w:color w:val="00B050"/>
          <w:kern w:val="0"/>
          <w:sz w:val="32"/>
          <w:szCs w:val="32"/>
        </w:rPr>
      </w:pPr>
      <w:r>
        <w:rPr>
          <w:rFonts w:ascii="Times New Roman" w:hAnsi="Times New Roman" w:eastAsia="仿宋_GB2312"/>
          <w:color w:val="000000"/>
          <w:kern w:val="0"/>
          <w:sz w:val="32"/>
          <w:szCs w:val="32"/>
        </w:rPr>
        <w:t>电气机械及设备制造业是工业领域装备设备的提供者，其发展有着广阔的市场空间。电气机械及设备制造业的发展与现有工业特别是优势工业相对接，提供设备服务，而东莞有着较好的产业基础和市场基础，优势行业已初步凸现，再加上产业发展的软硬件环境的日趋成熟，使得东莞市电气机械及设备制造业面临着良好的发展机遇。</w:t>
      </w:r>
      <w:r>
        <w:rPr>
          <w:rFonts w:ascii="Times New Roman" w:hAnsi="Times New Roman" w:eastAsia="仿宋_GB2312"/>
          <w:color w:val="000000"/>
          <w:sz w:val="32"/>
          <w:szCs w:val="32"/>
        </w:rPr>
        <w:t>201</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rPr>
        <w:t>电气机械及设备制造业实现规模以上工业增加值493.67亿元，同比增长4%，</w:t>
      </w:r>
      <w:r>
        <w:rPr>
          <w:rFonts w:hint="eastAsia" w:ascii="Times New Roman" w:hAnsi="Times New Roman" w:eastAsia="仿宋_GB2312"/>
          <w:color w:val="000000"/>
          <w:kern w:val="0"/>
          <w:sz w:val="32"/>
          <w:szCs w:val="32"/>
        </w:rPr>
        <w:t>主要特点如下：</w:t>
      </w:r>
    </w:p>
    <w:p>
      <w:pPr>
        <w:pStyle w:val="9"/>
        <w:spacing w:line="600" w:lineRule="exact"/>
        <w:ind w:firstLine="560" w:firstLineChars="200"/>
        <w:rPr>
          <w:rFonts w:eastAsia="仿宋_GB2312"/>
          <w:color w:val="00B050"/>
          <w:sz w:val="32"/>
          <w:szCs w:val="32"/>
        </w:rPr>
      </w:pPr>
      <w:r>
        <w:rPr>
          <w:rFonts w:hint="eastAsia" w:eastAsia="仿宋_GB2312"/>
          <w:color w:val="000000"/>
          <w:sz w:val="32"/>
          <w:szCs w:val="32"/>
        </w:rPr>
        <w:t>1、</w:t>
      </w:r>
      <w:r>
        <w:rPr>
          <w:rFonts w:eastAsia="仿宋_GB2312"/>
          <w:color w:val="000000"/>
          <w:sz w:val="32"/>
          <w:szCs w:val="32"/>
        </w:rPr>
        <w:t>产业规模较大。电气机械及设备制造业包括电气机械</w:t>
      </w:r>
      <w:r>
        <w:rPr>
          <w:rFonts w:hint="eastAsia" w:eastAsia="仿宋_GB2312"/>
          <w:color w:val="000000"/>
          <w:sz w:val="32"/>
          <w:szCs w:val="32"/>
        </w:rPr>
        <w:t>及</w:t>
      </w:r>
      <w:r>
        <w:rPr>
          <w:rFonts w:eastAsia="仿宋_GB2312"/>
          <w:color w:val="000000"/>
          <w:sz w:val="32"/>
          <w:szCs w:val="32"/>
        </w:rPr>
        <w:t>器材制造业</w:t>
      </w:r>
      <w:r>
        <w:rPr>
          <w:rFonts w:hint="eastAsia" w:eastAsia="仿宋_GB2312"/>
          <w:color w:val="000000"/>
          <w:sz w:val="32"/>
          <w:szCs w:val="32"/>
        </w:rPr>
        <w:t>，</w:t>
      </w:r>
      <w:r>
        <w:rPr>
          <w:rFonts w:eastAsia="仿宋_GB2312"/>
          <w:color w:val="000000"/>
          <w:sz w:val="32"/>
          <w:szCs w:val="32"/>
        </w:rPr>
        <w:t>仪器仪表</w:t>
      </w:r>
      <w:r>
        <w:rPr>
          <w:rFonts w:hint="eastAsia" w:eastAsia="仿宋_GB2312"/>
          <w:color w:val="000000"/>
          <w:sz w:val="32"/>
          <w:szCs w:val="32"/>
        </w:rPr>
        <w:t>制造业，通用设备制造业，专用设备制造业，汽车制造业，铁路、船舶、航空航天和其他运输设备制造业</w:t>
      </w:r>
      <w:r>
        <w:rPr>
          <w:rFonts w:eastAsia="仿宋_GB2312"/>
          <w:color w:val="000000"/>
          <w:sz w:val="32"/>
          <w:szCs w:val="32"/>
        </w:rPr>
        <w:t>，产业份额位居全市制造业第二。201</w:t>
      </w:r>
      <w:r>
        <w:rPr>
          <w:rFonts w:hint="eastAsia" w:eastAsia="仿宋_GB2312"/>
          <w:color w:val="000000"/>
          <w:sz w:val="32"/>
          <w:szCs w:val="32"/>
        </w:rPr>
        <w:t>6</w:t>
      </w:r>
      <w:r>
        <w:rPr>
          <w:rFonts w:eastAsia="仿宋_GB2312"/>
          <w:color w:val="000000"/>
          <w:sz w:val="32"/>
          <w:szCs w:val="32"/>
        </w:rPr>
        <w:t>年，该产业总共有规模以上制造业</w:t>
      </w:r>
      <w:r>
        <w:rPr>
          <w:rFonts w:hint="eastAsia" w:eastAsia="仿宋_GB2312"/>
          <w:color w:val="000000"/>
          <w:sz w:val="32"/>
          <w:szCs w:val="32"/>
        </w:rPr>
        <w:t>1277</w:t>
      </w:r>
      <w:r>
        <w:rPr>
          <w:rFonts w:eastAsia="仿宋_GB2312"/>
          <w:color w:val="000000"/>
          <w:sz w:val="32"/>
          <w:szCs w:val="32"/>
        </w:rPr>
        <w:t>家，占全市规模以上的</w:t>
      </w:r>
      <w:r>
        <w:rPr>
          <w:rFonts w:hint="eastAsia" w:eastAsia="仿宋_GB2312"/>
          <w:color w:val="000000"/>
          <w:sz w:val="32"/>
          <w:szCs w:val="32"/>
        </w:rPr>
        <w:t>22.6</w:t>
      </w:r>
      <w:r>
        <w:rPr>
          <w:rFonts w:eastAsia="仿宋_GB2312"/>
          <w:color w:val="000000"/>
          <w:sz w:val="32"/>
          <w:szCs w:val="32"/>
        </w:rPr>
        <w:t>%；完成</w:t>
      </w:r>
      <w:r>
        <w:rPr>
          <w:rFonts w:hint="eastAsia" w:eastAsia="仿宋_GB2312"/>
          <w:color w:val="000000"/>
          <w:sz w:val="32"/>
          <w:szCs w:val="32"/>
        </w:rPr>
        <w:t>主营业务收入2170.5</w:t>
      </w:r>
      <w:r>
        <w:rPr>
          <w:rFonts w:eastAsia="仿宋_GB2312"/>
          <w:color w:val="000000"/>
          <w:sz w:val="32"/>
          <w:szCs w:val="32"/>
        </w:rPr>
        <w:t>亿元，占规模以上</w:t>
      </w:r>
      <w:r>
        <w:rPr>
          <w:rFonts w:hint="eastAsia" w:eastAsia="仿宋_GB2312"/>
          <w:color w:val="000000"/>
          <w:sz w:val="32"/>
          <w:szCs w:val="32"/>
        </w:rPr>
        <w:t>工业主营业务收入</w:t>
      </w:r>
      <w:r>
        <w:rPr>
          <w:rFonts w:eastAsia="仿宋_GB2312"/>
          <w:color w:val="000000"/>
          <w:sz w:val="32"/>
          <w:szCs w:val="32"/>
        </w:rPr>
        <w:t>的</w:t>
      </w:r>
      <w:r>
        <w:rPr>
          <w:rFonts w:hint="eastAsia" w:eastAsia="仿宋_GB2312"/>
          <w:color w:val="000000"/>
          <w:sz w:val="32"/>
          <w:szCs w:val="32"/>
        </w:rPr>
        <w:t>14.9</w:t>
      </w:r>
      <w:r>
        <w:rPr>
          <w:rFonts w:eastAsia="仿宋_GB2312"/>
          <w:color w:val="000000"/>
          <w:sz w:val="32"/>
          <w:szCs w:val="32"/>
        </w:rPr>
        <w:t>%。</w:t>
      </w:r>
    </w:p>
    <w:p>
      <w:pPr>
        <w:spacing w:line="600" w:lineRule="exact"/>
        <w:ind w:firstLine="56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w:t>
      </w:r>
      <w:r>
        <w:rPr>
          <w:rFonts w:ascii="Times New Roman" w:hAnsi="Times New Roman" w:eastAsia="仿宋_GB2312"/>
          <w:color w:val="000000"/>
          <w:sz w:val="32"/>
          <w:szCs w:val="32"/>
        </w:rPr>
        <w:t>产业集群发展稳健。该产业拥有长安五金模具、虎门电子线缆、寮步汽车、横沥模具等4个产业集群，占东莞市重点扶持发展的产业集群（16个）总数的1/4，其中，长安五金模具产业集群被评为省级产业集群升级示范区。模具作为“制造业之母”，在政府大力扶持和市场需求刺激下，东莞市形成的以长安镇、横沥、清溪等镇为主的五金模具产业已颇具规模，其中，长安镇已初步形成了具有一定区域竞争优势的五金模具产业集群。虎门镇电子线缆产业企业主要服务于通讯行业、IT行业、家电和消费类电子行业，形成了研发、生产、销售及上下游配套较为完整的产业链。寮步汽车产业集群以汽车生产、汽车文化及服务等相关性产业为切入点，在特种车制造业的基础上进一步延长汽车产业链，打造具有影响力的寮步汽车产业品牌，汽车销售业也已成为东莞的龙头。以石龙、长安等为主的办公设备生产基地，其生产规模和技术水平均代表了世界先进水平，拥有京瓷美达、柯尼卡美能达等世界500强企业。</w:t>
      </w:r>
    </w:p>
    <w:p>
      <w:pPr>
        <w:spacing w:line="600" w:lineRule="exact"/>
        <w:ind w:firstLine="56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大企业发展较快。东莞通过引进产业链薄弱环节和大型龙头项目、核心项目，聚集了一批技术先进、产业带动能力强的企业，如三星电机、京瓷美达、创基电业、柯尼卡美能达、华新电线电缆、中远船务、京滨、信浓马达等。</w:t>
      </w:r>
    </w:p>
    <w:p>
      <w:pPr>
        <w:spacing w:line="600" w:lineRule="exact"/>
        <w:ind w:firstLine="56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4、</w:t>
      </w:r>
      <w:r>
        <w:rPr>
          <w:rFonts w:ascii="Times New Roman" w:hAnsi="Times New Roman" w:eastAsia="仿宋_GB2312"/>
          <w:color w:val="000000"/>
          <w:sz w:val="32"/>
          <w:szCs w:val="32"/>
        </w:rPr>
        <w:t>新兴产业潜力巨大。东莞在该产业中涉及新兴产业的重大装备以及重要零部件，如OLED设备，光伏用逆变器、并网控制器，大容量储电设备方面具有明显的竞争优势，产业发展潜力巨大。</w:t>
      </w:r>
    </w:p>
    <w:p>
      <w:pPr>
        <w:pStyle w:val="10"/>
        <w:keepNext w:val="0"/>
        <w:keepLines w:val="0"/>
        <w:pageBreakBefore w:val="0"/>
        <w:widowControl w:val="0"/>
        <w:numPr>
          <w:ilvl w:val="0"/>
          <w:numId w:val="1"/>
        </w:numPr>
        <w:kinsoku/>
        <w:wordWrap/>
        <w:overflowPunct/>
        <w:topLinePunct w:val="0"/>
        <w:autoSpaceDE w:val="0"/>
        <w:autoSpaceDN w:val="0"/>
        <w:bidi w:val="0"/>
        <w:adjustRightInd w:val="0"/>
        <w:snapToGrid/>
        <w:ind w:left="0" w:leftChars="0" w:right="0" w:rightChars="0" w:firstLine="640" w:firstLineChars="200"/>
        <w:textAlignment w:val="auto"/>
        <w:outlineLvl w:val="1"/>
        <w:rPr>
          <w:rFonts w:hint="eastAsia" w:ascii="仿宋_GB2312" w:hAnsi="仿宋_GB2312" w:eastAsia="仿宋_GB2312" w:cs="仿宋_GB2312"/>
          <w:color w:val="000000"/>
          <w:kern w:val="0"/>
          <w:sz w:val="32"/>
          <w:szCs w:val="32"/>
        </w:rPr>
      </w:pPr>
      <w:bookmarkStart w:id="3" w:name="_Toc294768299"/>
      <w:bookmarkStart w:id="4" w:name="_Toc301540393"/>
      <w:r>
        <w:rPr>
          <w:rFonts w:hint="eastAsia" w:ascii="仿宋_GB2312" w:hAnsi="仿宋_GB2312" w:eastAsia="仿宋_GB2312" w:cs="仿宋_GB2312"/>
          <w:color w:val="000000"/>
          <w:kern w:val="0"/>
          <w:sz w:val="32"/>
          <w:szCs w:val="32"/>
        </w:rPr>
        <w:t>纺织服装鞋帽制造业</w:t>
      </w:r>
      <w:bookmarkEnd w:id="3"/>
      <w:bookmarkEnd w:id="4"/>
    </w:p>
    <w:p>
      <w:pPr>
        <w:ind w:firstLine="56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东莞目前拥有总数过万家的纺织服装生产及流通企业，已形成了门类齐全、产业规模大、产业配套水平较高的产业体系，涌现出诸如虎门“中国女装名镇”、大朗“中国羊毛衫名镇”等全国闻名的产业集群，东莞更是全国首批十大“纺织产业基地市”之一。</w:t>
      </w:r>
      <w:r>
        <w:rPr>
          <w:rFonts w:ascii="Times New Roman" w:hAnsi="Times New Roman" w:eastAsia="仿宋_GB2312"/>
          <w:color w:val="000000"/>
          <w:sz w:val="32"/>
          <w:szCs w:val="32"/>
        </w:rPr>
        <w:t>201</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rPr>
        <w:t>纺织服装鞋帽制造业实现规模以上工业增加值283.96亿元，同比下降8%，</w:t>
      </w:r>
      <w:r>
        <w:rPr>
          <w:rFonts w:hint="eastAsia" w:ascii="Times New Roman" w:hAnsi="Times New Roman" w:eastAsia="仿宋_GB2312"/>
          <w:color w:val="000000"/>
          <w:kern w:val="0"/>
          <w:sz w:val="32"/>
          <w:szCs w:val="32"/>
        </w:rPr>
        <w:t>主要特点如下：</w:t>
      </w:r>
    </w:p>
    <w:p>
      <w:pPr>
        <w:pStyle w:val="10"/>
        <w:autoSpaceDE w:val="0"/>
        <w:autoSpaceDN w:val="0"/>
        <w:adjustRightInd w:val="0"/>
        <w:ind w:firstLine="560"/>
        <w:rPr>
          <w:rFonts w:ascii="Times New Roman" w:hAnsi="Times New Roman" w:eastAsia="楷体_GB2312"/>
          <w:color w:val="FF0000"/>
          <w:kern w:val="0"/>
          <w:sz w:val="32"/>
          <w:szCs w:val="32"/>
        </w:rPr>
      </w:pP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产业规模优势明显。201</w:t>
      </w:r>
      <w:r>
        <w:rPr>
          <w:rFonts w:hint="eastAsia" w:ascii="Times New Roman" w:hAnsi="Times New Roman" w:eastAsia="仿宋_GB2312"/>
          <w:color w:val="000000"/>
          <w:kern w:val="0"/>
          <w:sz w:val="32"/>
          <w:szCs w:val="32"/>
        </w:rPr>
        <w:t>6</w:t>
      </w:r>
      <w:r>
        <w:rPr>
          <w:rFonts w:ascii="Times New Roman" w:hAnsi="Times New Roman" w:eastAsia="仿宋_GB2312"/>
          <w:color w:val="000000"/>
          <w:kern w:val="0"/>
          <w:sz w:val="32"/>
          <w:szCs w:val="32"/>
        </w:rPr>
        <w:t>年，纺织服装鞋帽制造业有规模以上企业</w:t>
      </w:r>
      <w:r>
        <w:rPr>
          <w:rFonts w:hint="eastAsia" w:ascii="Times New Roman" w:hAnsi="Times New Roman" w:eastAsia="仿宋_GB2312"/>
          <w:color w:val="000000"/>
          <w:kern w:val="0"/>
          <w:sz w:val="32"/>
          <w:szCs w:val="32"/>
        </w:rPr>
        <w:t>861</w:t>
      </w:r>
      <w:r>
        <w:rPr>
          <w:rFonts w:ascii="Times New Roman" w:hAnsi="Times New Roman" w:eastAsia="仿宋_GB2312"/>
          <w:color w:val="000000"/>
          <w:kern w:val="0"/>
          <w:sz w:val="32"/>
          <w:szCs w:val="32"/>
        </w:rPr>
        <w:t>家，占全市规模以上制造业企业总量的</w:t>
      </w:r>
      <w:r>
        <w:rPr>
          <w:rFonts w:hint="eastAsia" w:ascii="Times New Roman" w:hAnsi="Times New Roman" w:eastAsia="仿宋_GB2312"/>
          <w:color w:val="000000"/>
          <w:kern w:val="0"/>
          <w:sz w:val="32"/>
          <w:szCs w:val="32"/>
        </w:rPr>
        <w:t>15.3</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主营业务收入达861.3</w:t>
      </w:r>
      <w:r>
        <w:rPr>
          <w:rFonts w:ascii="Times New Roman" w:hAnsi="Times New Roman" w:eastAsia="仿宋_GB2312"/>
          <w:color w:val="000000"/>
          <w:kern w:val="0"/>
          <w:sz w:val="32"/>
          <w:szCs w:val="32"/>
        </w:rPr>
        <w:t>亿元，占全市规模以上</w:t>
      </w:r>
      <w:r>
        <w:rPr>
          <w:rFonts w:hint="eastAsia" w:ascii="Times New Roman" w:hAnsi="Times New Roman" w:eastAsia="仿宋_GB2312"/>
          <w:color w:val="000000"/>
          <w:kern w:val="0"/>
          <w:sz w:val="32"/>
          <w:szCs w:val="32"/>
        </w:rPr>
        <w:t>工业主营业务收入</w:t>
      </w:r>
      <w:r>
        <w:rPr>
          <w:rFonts w:ascii="Times New Roman" w:hAnsi="Times New Roman" w:eastAsia="仿宋_GB2312"/>
          <w:color w:val="000000"/>
          <w:kern w:val="0"/>
          <w:sz w:val="32"/>
          <w:szCs w:val="32"/>
        </w:rPr>
        <w:t>的</w:t>
      </w:r>
      <w:r>
        <w:rPr>
          <w:rFonts w:hint="eastAsia" w:ascii="Times New Roman" w:hAnsi="Times New Roman" w:eastAsia="仿宋_GB2312"/>
          <w:color w:val="000000"/>
          <w:kern w:val="0"/>
          <w:sz w:val="32"/>
          <w:szCs w:val="32"/>
        </w:rPr>
        <w:t>5.9</w:t>
      </w:r>
      <w:r>
        <w:rPr>
          <w:rFonts w:ascii="Times New Roman" w:hAnsi="Times New Roman" w:eastAsia="仿宋_GB2312"/>
          <w:color w:val="000000"/>
          <w:kern w:val="0"/>
          <w:sz w:val="32"/>
          <w:szCs w:val="32"/>
        </w:rPr>
        <w:t>%。东莞市已成为全省乃至全国的纺织服装加工生产出口基地。</w:t>
      </w:r>
    </w:p>
    <w:p>
      <w:pPr>
        <w:ind w:firstLine="44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产业集群优势明显。目前，东莞市的虎门服装、大朗毛织、厚街鞋业先后成为省产业集群升级示范区。有“中国服装名城”、“中国女装名镇”之称的虎门镇，以服装产业集群为依托，以完善服装产业链为支撑，以国际服装交易会为载体，大力推动虎门服装产业升级发展。</w:t>
      </w:r>
    </w:p>
    <w:p>
      <w:pPr>
        <w:ind w:firstLine="56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织城”大朗注重完善城市平台，增强城市对各种资源要素的集聚能力和配置能力，实现了产业高端资源的集聚，形成了8.9平方公里的毛织商贸区、5条毛织专业街，为产业转型升级提供了完善的配套。目前，大朗全镇毛织企业使用数控织机已超过1万台，毛织产业与信息化技术的融合成为转型升级的典范。</w:t>
      </w:r>
    </w:p>
    <w:p>
      <w:pPr>
        <w:ind w:firstLine="56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厚街鞋业产业集群为产业配套的皮革、鞋材、鞋机、人才中心、物流中心、鞋业展览、贸易、研发等鞋业上下游产业都发展迅速，还逐渐建成集研发设计、质量检测、人才培育和信息咨询于一身的“四大平台”。</w:t>
      </w:r>
    </w:p>
    <w:p>
      <w:pPr>
        <w:ind w:firstLine="560"/>
        <w:rPr>
          <w:rFonts w:ascii="Times New Roman" w:hAnsi="Times New Roman"/>
          <w:color w:val="000000"/>
          <w:sz w:val="32"/>
          <w:szCs w:val="32"/>
        </w:rPr>
      </w:pPr>
      <w:r>
        <w:rPr>
          <w:rFonts w:ascii="Times New Roman" w:hAnsi="Times New Roman" w:eastAsia="仿宋_GB2312"/>
          <w:color w:val="000000"/>
          <w:kern w:val="0"/>
          <w:sz w:val="32"/>
          <w:szCs w:val="32"/>
        </w:rPr>
        <w:t xml:space="preserve"> </w:t>
      </w:r>
      <w:r>
        <w:rPr>
          <w:rFonts w:hint="eastAsia" w:ascii="Times New Roman" w:hAnsi="Times New Roman" w:eastAsia="仿宋_GB2312"/>
          <w:color w:val="000000"/>
          <w:kern w:val="0"/>
          <w:sz w:val="32"/>
          <w:szCs w:val="32"/>
        </w:rPr>
        <w:t>3、</w:t>
      </w:r>
      <w:r>
        <w:rPr>
          <w:rFonts w:ascii="Times New Roman" w:hAnsi="Times New Roman" w:eastAsia="仿宋_GB2312"/>
          <w:color w:val="000000"/>
          <w:kern w:val="0"/>
          <w:sz w:val="32"/>
          <w:szCs w:val="32"/>
        </w:rPr>
        <w:t>产业布局清晰明朗。以虎门镇为中心，辐射长安、厚街等镇区，主要生产女装（包括内衣）；以大朗镇为中心，辐射常平、寮步等镇区，主要生产毛针织产品；以茶山镇为中心，辐射石龙、东城、石排等镇区，主要生产休闲服、童装、针织T恤、运动服、内衣裤等；东坑镇则集聚生产洋服的男装企业，如观奇、大卫罗特、威文等著名洋服都在此镇生产；以麻涌、洪梅、沙田等镇形成水乡片区，主要从事印染、洗水等环节；中堂镇则主要生产牛仔服装。制鞋主要布局在南城—厚街—虎门，另外，高</w:t>
      </w:r>
      <w:r>
        <w:rPr>
          <w:rFonts w:ascii="Times New Roman" w:hAnsi="Times New Roman"/>
          <w:color w:val="000000"/>
          <w:sz w:val="32"/>
          <w:szCs w:val="32"/>
        </w:rPr>
        <w:t>埗</w:t>
      </w:r>
      <w:r>
        <w:rPr>
          <w:rFonts w:ascii="Times New Roman" w:hAnsi="Times New Roman" w:eastAsia="仿宋_GB2312"/>
          <w:color w:val="000000"/>
          <w:kern w:val="0"/>
          <w:sz w:val="32"/>
          <w:szCs w:val="32"/>
        </w:rPr>
        <w:t>、寮步、沙田的制鞋来也有一定规模。</w:t>
      </w:r>
    </w:p>
    <w:p>
      <w:pPr>
        <w:ind w:firstLine="440"/>
        <w:rPr>
          <w:rFonts w:ascii="Times New Roman" w:hAnsi="Times New Roman"/>
          <w:color w:val="000000"/>
          <w:sz w:val="32"/>
          <w:szCs w:val="32"/>
        </w:rPr>
      </w:pPr>
      <w:r>
        <w:rPr>
          <w:rFonts w:hint="eastAsia" w:ascii="Times New Roman" w:hAnsi="Times New Roman" w:eastAsia="仿宋_GB2312"/>
          <w:color w:val="000000"/>
          <w:kern w:val="0"/>
          <w:sz w:val="32"/>
          <w:szCs w:val="32"/>
        </w:rPr>
        <w:t>4、</w:t>
      </w:r>
      <w:r>
        <w:rPr>
          <w:rFonts w:ascii="Times New Roman" w:hAnsi="Times New Roman" w:eastAsia="仿宋_GB2312"/>
          <w:color w:val="000000"/>
          <w:kern w:val="0"/>
          <w:sz w:val="32"/>
          <w:szCs w:val="32"/>
        </w:rPr>
        <w:t>民营企业迅猛崛起，品牌服装不断涌现。近年来，东莞纺织服装鞋帽制造业中的民营企业发展迅猛，民营企业在人才、技术、管理方面水平不断提高，已逐渐从过去的单一为外商配套加工、贴牌生产的经营模式，转变为OEM和ODM相结合。以纯、</w:t>
      </w:r>
      <w:r>
        <w:rPr>
          <w:rFonts w:hint="eastAsia" w:ascii="Times New Roman" w:hAnsi="Times New Roman" w:eastAsia="仿宋_GB2312"/>
          <w:color w:val="000000"/>
          <w:kern w:val="0"/>
          <w:sz w:val="32"/>
          <w:szCs w:val="32"/>
        </w:rPr>
        <w:t>都市丽人、搜于特、</w:t>
      </w:r>
      <w:r>
        <w:rPr>
          <w:rFonts w:ascii="Times New Roman" w:hAnsi="Times New Roman" w:eastAsia="仿宋_GB2312"/>
          <w:color w:val="000000"/>
          <w:kern w:val="0"/>
          <w:sz w:val="32"/>
          <w:szCs w:val="32"/>
        </w:rPr>
        <w:t>颖祺、远梦、百思特、小猪班纳等一批民营企业快速成长。</w:t>
      </w:r>
    </w:p>
    <w:p>
      <w:pPr>
        <w:keepNext w:val="0"/>
        <w:keepLines w:val="0"/>
        <w:pageBreakBefore w:val="0"/>
        <w:widowControl w:val="0"/>
        <w:numPr>
          <w:ilvl w:val="0"/>
          <w:numId w:val="1"/>
        </w:numPr>
        <w:kinsoku/>
        <w:wordWrap/>
        <w:overflowPunct/>
        <w:topLinePunct w:val="0"/>
        <w:bidi w:val="0"/>
        <w:snapToGrid/>
        <w:spacing w:line="600" w:lineRule="exact"/>
        <w:ind w:left="0" w:leftChars="0" w:right="0" w:rightChars="0" w:firstLine="640" w:firstLineChars="200"/>
        <w:jc w:val="left"/>
        <w:textAlignment w:val="auto"/>
        <w:outlineLvl w:val="1"/>
        <w:rPr>
          <w:rFonts w:hint="eastAsia" w:ascii="仿宋_GB2312" w:hAnsi="仿宋_GB2312" w:eastAsia="仿宋_GB2312" w:cs="仿宋_GB2312"/>
          <w:color w:val="000000"/>
          <w:kern w:val="0"/>
          <w:sz w:val="32"/>
          <w:szCs w:val="32"/>
        </w:rPr>
      </w:pPr>
      <w:bookmarkStart w:id="5" w:name="_Toc301540394"/>
      <w:bookmarkStart w:id="6" w:name="_Toc294768300"/>
      <w:r>
        <w:rPr>
          <w:rFonts w:hint="eastAsia" w:ascii="仿宋_GB2312" w:hAnsi="仿宋_GB2312" w:eastAsia="仿宋_GB2312" w:cs="仿宋_GB2312"/>
          <w:color w:val="000000"/>
          <w:kern w:val="0"/>
          <w:sz w:val="32"/>
          <w:szCs w:val="32"/>
        </w:rPr>
        <w:t>食品饮料加工制造业</w:t>
      </w:r>
      <w:bookmarkEnd w:id="5"/>
      <w:bookmarkEnd w:id="6"/>
    </w:p>
    <w:p>
      <w:pPr>
        <w:autoSpaceDE w:val="0"/>
        <w:autoSpaceDN w:val="0"/>
        <w:adjustRightInd w:val="0"/>
        <w:spacing w:line="600" w:lineRule="exact"/>
        <w:ind w:firstLine="56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在广东传统食品产业中，东莞占有重要的一席之地，拥有徐</w:t>
      </w:r>
      <w:r>
        <w:rPr>
          <w:rFonts w:hint="eastAsia" w:ascii="Times New Roman" w:hAnsi="Times New Roman" w:eastAsia="仿宋_GB2312"/>
          <w:color w:val="000000"/>
          <w:kern w:val="0"/>
          <w:sz w:val="32"/>
          <w:szCs w:val="32"/>
        </w:rPr>
        <w:t>福</w:t>
      </w:r>
      <w:r>
        <w:rPr>
          <w:rFonts w:ascii="Times New Roman" w:hAnsi="Times New Roman" w:eastAsia="仿宋_GB2312"/>
          <w:color w:val="000000"/>
          <w:kern w:val="0"/>
          <w:sz w:val="32"/>
          <w:szCs w:val="32"/>
        </w:rPr>
        <w:t>记、可口可乐、雀巢、华美等驰名中外的品牌。虽然在整个工业产业体系中，相对于电子信息、电气机械等优势支柱产业，食品饮料产业的规模还不算太大，但在产业份额，产业影响力方面都有了长足的发展。</w:t>
      </w:r>
      <w:r>
        <w:rPr>
          <w:rFonts w:ascii="Times New Roman" w:hAnsi="Times New Roman" w:eastAsia="仿宋_GB2312"/>
          <w:color w:val="000000"/>
          <w:sz w:val="32"/>
          <w:szCs w:val="32"/>
        </w:rPr>
        <w:t>201</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rPr>
        <w:t>食品饮料加工制造业实现规模以上工业增加值77.9亿元，同比增长1%，</w:t>
      </w:r>
      <w:r>
        <w:rPr>
          <w:rFonts w:hint="eastAsia" w:ascii="Times New Roman" w:hAnsi="Times New Roman" w:eastAsia="仿宋_GB2312"/>
          <w:color w:val="000000"/>
          <w:kern w:val="0"/>
          <w:sz w:val="32"/>
          <w:szCs w:val="32"/>
        </w:rPr>
        <w:t>主要特点如下：</w:t>
      </w:r>
    </w:p>
    <w:p>
      <w:pPr>
        <w:autoSpaceDE w:val="0"/>
        <w:autoSpaceDN w:val="0"/>
        <w:adjustRightInd w:val="0"/>
        <w:spacing w:line="600" w:lineRule="exact"/>
        <w:ind w:firstLine="56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区位竞争优势明显。201</w:t>
      </w:r>
      <w:r>
        <w:rPr>
          <w:rFonts w:hint="eastAsia" w:ascii="Times New Roman" w:hAnsi="Times New Roman" w:eastAsia="仿宋_GB2312"/>
          <w:color w:val="000000"/>
          <w:kern w:val="0"/>
          <w:sz w:val="32"/>
          <w:szCs w:val="32"/>
        </w:rPr>
        <w:t>6</w:t>
      </w:r>
      <w:r>
        <w:rPr>
          <w:rFonts w:ascii="Times New Roman" w:hAnsi="Times New Roman" w:eastAsia="仿宋_GB2312"/>
          <w:color w:val="000000"/>
          <w:kern w:val="0"/>
          <w:sz w:val="32"/>
          <w:szCs w:val="32"/>
        </w:rPr>
        <w:t>年，东莞市食品饮料加工制造业有规模以上企业</w:t>
      </w:r>
      <w:r>
        <w:rPr>
          <w:rFonts w:hint="eastAsia" w:ascii="Times New Roman" w:hAnsi="Times New Roman" w:eastAsia="仿宋_GB2312"/>
          <w:color w:val="000000"/>
          <w:kern w:val="0"/>
          <w:sz w:val="32"/>
          <w:szCs w:val="32"/>
        </w:rPr>
        <w:t>98</w:t>
      </w:r>
      <w:r>
        <w:rPr>
          <w:rFonts w:ascii="Times New Roman" w:hAnsi="Times New Roman" w:eastAsia="仿宋_GB2312"/>
          <w:color w:val="000000"/>
          <w:kern w:val="0"/>
          <w:sz w:val="32"/>
          <w:szCs w:val="32"/>
        </w:rPr>
        <w:t>家，</w:t>
      </w:r>
      <w:r>
        <w:rPr>
          <w:rFonts w:hint="eastAsia" w:ascii="Times New Roman" w:hAnsi="Times New Roman" w:eastAsia="仿宋_GB2312"/>
          <w:color w:val="000000"/>
          <w:kern w:val="0"/>
          <w:sz w:val="32"/>
          <w:szCs w:val="32"/>
        </w:rPr>
        <w:t>主营业务收入达634.6</w:t>
      </w:r>
      <w:r>
        <w:rPr>
          <w:rFonts w:ascii="Times New Roman" w:hAnsi="Times New Roman" w:eastAsia="仿宋_GB2312"/>
          <w:color w:val="000000"/>
          <w:kern w:val="0"/>
          <w:sz w:val="32"/>
          <w:szCs w:val="32"/>
        </w:rPr>
        <w:t>亿元，占规模以上工业的</w:t>
      </w:r>
      <w:r>
        <w:rPr>
          <w:rFonts w:hint="eastAsia" w:ascii="Times New Roman" w:hAnsi="Times New Roman" w:eastAsia="仿宋_GB2312"/>
          <w:color w:val="000000"/>
          <w:kern w:val="0"/>
          <w:sz w:val="32"/>
          <w:szCs w:val="32"/>
        </w:rPr>
        <w:t>4.4</w:t>
      </w:r>
      <w:r>
        <w:rPr>
          <w:rFonts w:ascii="Times New Roman" w:hAnsi="Times New Roman" w:eastAsia="仿宋_GB2312"/>
          <w:color w:val="000000"/>
          <w:kern w:val="0"/>
          <w:sz w:val="32"/>
          <w:szCs w:val="32"/>
        </w:rPr>
        <w:t>%。食品饮料加工制造业的增加值率、产业强弱系数、利税率以及市场占有率在各产业中都是名列前茅。</w:t>
      </w:r>
    </w:p>
    <w:p>
      <w:pPr>
        <w:ind w:firstLine="440"/>
        <w:jc w:val="left"/>
        <w:rPr>
          <w:rFonts w:ascii="Times New Roman" w:hAnsi="Times New Roman"/>
          <w:color w:val="000000"/>
          <w:sz w:val="32"/>
          <w:szCs w:val="32"/>
        </w:rPr>
      </w:pP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具备了良好的产业基础</w:t>
      </w:r>
      <w:r>
        <w:rPr>
          <w:rFonts w:ascii="Times New Roman" w:hAnsi="Times New Roman"/>
          <w:color w:val="000000"/>
          <w:sz w:val="32"/>
          <w:szCs w:val="32"/>
        </w:rPr>
        <w:t>。</w:t>
      </w:r>
      <w:r>
        <w:rPr>
          <w:rFonts w:ascii="Times New Roman" w:hAnsi="Times New Roman" w:eastAsia="仿宋_GB2312"/>
          <w:color w:val="000000"/>
          <w:kern w:val="0"/>
          <w:sz w:val="32"/>
          <w:szCs w:val="32"/>
        </w:rPr>
        <w:t>东莞市发展食品产业已经有很长的历史，已形成了多元化的发展趋势，积累了良好的产业基础。主要体现在：一是产业种类较为齐全。涉及到多个子行业，其中以饮料、烘焙、糖果、调味品、食品添加剂、粮油加工、冷冻食品等行业为主。二是集聚了一批知名品牌和大型企业。</w:t>
      </w:r>
      <w:r>
        <w:rPr>
          <w:rFonts w:ascii="Times New Roman" w:hAnsi="Times New Roman" w:eastAsia="仿宋_GB2312"/>
          <w:color w:val="000000"/>
          <w:sz w:val="32"/>
          <w:szCs w:val="32"/>
        </w:rPr>
        <w:t>如饮料行业有可口可乐、雀巢、加多宝，糕点行业有嘉顿、荣华，乳制品的伊利、蒙牛，糖果有徐福记，农副食品行业有中储粮、中纺等央企在东莞设立的粮油加工企业</w:t>
      </w:r>
      <w:r>
        <w:rPr>
          <w:rFonts w:ascii="Times New Roman" w:hAnsi="Times New Roman" w:eastAsia="仿宋_GB2312"/>
          <w:color w:val="000000"/>
          <w:kern w:val="0"/>
          <w:sz w:val="32"/>
          <w:szCs w:val="32"/>
        </w:rPr>
        <w:t>。东莞的食品饮料加工制造业整个产业链条从原材料、辅料、加工机械、零配件、半成品加工、金融、物流、会展等多个环节较为完善，众多的上下游企业集聚，产业分工日益细化，形成了较明显的产业配套优势。</w:t>
      </w:r>
    </w:p>
    <w:p>
      <w:pPr>
        <w:ind w:firstLine="56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3、</w:t>
      </w:r>
      <w:r>
        <w:rPr>
          <w:rFonts w:ascii="Times New Roman" w:hAnsi="Times New Roman" w:eastAsia="仿宋_GB2312"/>
          <w:color w:val="000000"/>
          <w:kern w:val="0"/>
          <w:sz w:val="32"/>
          <w:szCs w:val="32"/>
        </w:rPr>
        <w:t>企业规模大，产业集中度高。201</w:t>
      </w:r>
      <w:r>
        <w:rPr>
          <w:rFonts w:hint="eastAsia" w:ascii="Times New Roman" w:hAnsi="Times New Roman" w:eastAsia="仿宋_GB2312"/>
          <w:color w:val="000000"/>
          <w:kern w:val="0"/>
          <w:sz w:val="32"/>
          <w:szCs w:val="32"/>
        </w:rPr>
        <w:t>6</w:t>
      </w:r>
      <w:r>
        <w:rPr>
          <w:rFonts w:ascii="Times New Roman" w:hAnsi="Times New Roman" w:eastAsia="仿宋_GB2312"/>
          <w:color w:val="000000"/>
          <w:kern w:val="0"/>
          <w:sz w:val="32"/>
          <w:szCs w:val="32"/>
        </w:rPr>
        <w:t>年，食品饮料加工制造业规模以上</w:t>
      </w:r>
      <w:r>
        <w:rPr>
          <w:rFonts w:hint="eastAsia" w:ascii="Times New Roman" w:hAnsi="Times New Roman" w:eastAsia="仿宋_GB2312"/>
          <w:color w:val="000000"/>
          <w:kern w:val="0"/>
          <w:sz w:val="32"/>
          <w:szCs w:val="32"/>
        </w:rPr>
        <w:t>企业98</w:t>
      </w:r>
      <w:r>
        <w:rPr>
          <w:rFonts w:ascii="Times New Roman" w:hAnsi="Times New Roman" w:eastAsia="仿宋_GB2312"/>
          <w:color w:val="000000"/>
          <w:kern w:val="0"/>
          <w:sz w:val="32"/>
          <w:szCs w:val="32"/>
        </w:rPr>
        <w:t>家</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户均</w:t>
      </w:r>
      <w:r>
        <w:rPr>
          <w:rFonts w:hint="eastAsia" w:ascii="Times New Roman" w:hAnsi="Times New Roman" w:eastAsia="仿宋_GB2312"/>
          <w:color w:val="000000"/>
          <w:kern w:val="0"/>
          <w:sz w:val="32"/>
          <w:szCs w:val="32"/>
        </w:rPr>
        <w:t>主营业务收入6.47</w:t>
      </w:r>
      <w:r>
        <w:rPr>
          <w:rFonts w:ascii="Times New Roman" w:hAnsi="Times New Roman" w:eastAsia="仿宋_GB2312"/>
          <w:color w:val="000000"/>
          <w:kern w:val="0"/>
          <w:sz w:val="32"/>
          <w:szCs w:val="32"/>
        </w:rPr>
        <w:t>亿元，远远大于制造业</w:t>
      </w:r>
      <w:r>
        <w:rPr>
          <w:rFonts w:hint="eastAsia" w:ascii="Times New Roman" w:hAnsi="Times New Roman" w:eastAsia="仿宋_GB2312"/>
          <w:color w:val="000000"/>
          <w:kern w:val="0"/>
          <w:sz w:val="32"/>
          <w:szCs w:val="32"/>
        </w:rPr>
        <w:t>2.57</w:t>
      </w:r>
      <w:r>
        <w:rPr>
          <w:rFonts w:ascii="Times New Roman" w:hAnsi="Times New Roman" w:eastAsia="仿宋_GB2312"/>
          <w:color w:val="000000"/>
          <w:kern w:val="0"/>
          <w:sz w:val="32"/>
          <w:szCs w:val="32"/>
        </w:rPr>
        <w:t>亿元的规模，与其他产业相比具有明显的企业规模优势，产业集中度也持续保持高水平。</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right="0" w:rightChars="0" w:firstLine="640" w:firstLineChars="200"/>
        <w:textAlignment w:val="auto"/>
        <w:outlineLvl w:val="1"/>
        <w:rPr>
          <w:rFonts w:hint="eastAsia" w:ascii="仿宋_GB2312" w:hAnsi="仿宋_GB2312" w:eastAsia="仿宋_GB2312" w:cs="仿宋_GB2312"/>
          <w:color w:val="000000"/>
          <w:kern w:val="0"/>
          <w:sz w:val="32"/>
          <w:szCs w:val="32"/>
        </w:rPr>
      </w:pPr>
      <w:bookmarkStart w:id="7" w:name="_Toc301540395"/>
      <w:bookmarkStart w:id="8" w:name="_Toc294768301"/>
      <w:r>
        <w:rPr>
          <w:rFonts w:hint="eastAsia" w:ascii="仿宋_GB2312" w:hAnsi="仿宋_GB2312" w:eastAsia="仿宋_GB2312" w:cs="仿宋_GB2312"/>
          <w:color w:val="000000"/>
          <w:kern w:val="0"/>
          <w:sz w:val="32"/>
          <w:szCs w:val="32"/>
        </w:rPr>
        <w:t>造纸及纸制品业</w:t>
      </w:r>
      <w:bookmarkEnd w:id="7"/>
      <w:bookmarkEnd w:id="8"/>
    </w:p>
    <w:p>
      <w:pPr>
        <w:autoSpaceDE w:val="0"/>
        <w:autoSpaceDN w:val="0"/>
        <w:adjustRightInd w:val="0"/>
        <w:spacing w:line="560" w:lineRule="exact"/>
        <w:ind w:firstLine="56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东莞已建成中国最大的造纸及纸制品生产基地，形成生产包装用纸（纸板）、生活用纸、包装、印刷、造纸机械、化工等工业相互配合、协调发展的产业链和产业集群。从全省情况来看，珠江三角洲是广东省造纸产业的核心集聚带，而东莞的集群化趋势更明显。201</w:t>
      </w:r>
      <w:r>
        <w:rPr>
          <w:rFonts w:hint="eastAsia" w:ascii="Times New Roman" w:hAnsi="Times New Roman" w:eastAsia="仿宋_GB2312"/>
          <w:color w:val="000000"/>
          <w:kern w:val="0"/>
          <w:sz w:val="32"/>
          <w:szCs w:val="32"/>
        </w:rPr>
        <w:t>6</w:t>
      </w:r>
      <w:r>
        <w:rPr>
          <w:rFonts w:ascii="Times New Roman" w:hAnsi="Times New Roman" w:eastAsia="仿宋_GB2312"/>
          <w:color w:val="000000"/>
          <w:kern w:val="0"/>
          <w:sz w:val="32"/>
          <w:szCs w:val="32"/>
        </w:rPr>
        <w:t>年，</w:t>
      </w:r>
      <w:r>
        <w:rPr>
          <w:rFonts w:hint="eastAsia" w:ascii="Times New Roman" w:hAnsi="Times New Roman" w:eastAsia="仿宋_GB2312"/>
          <w:color w:val="000000"/>
          <w:sz w:val="32"/>
          <w:szCs w:val="32"/>
        </w:rPr>
        <w:t>造纸及纸制品业实现规模以上工业增加值122.45亿元，同比增长3.9%，</w:t>
      </w:r>
      <w:r>
        <w:rPr>
          <w:rFonts w:hint="eastAsia" w:ascii="Times New Roman" w:hAnsi="Times New Roman" w:eastAsia="仿宋_GB2312"/>
          <w:color w:val="000000"/>
          <w:kern w:val="0"/>
          <w:sz w:val="32"/>
          <w:szCs w:val="32"/>
        </w:rPr>
        <w:t>完成主营业务收入594.3</w:t>
      </w:r>
      <w:r>
        <w:rPr>
          <w:rFonts w:ascii="Times New Roman" w:hAnsi="Times New Roman" w:eastAsia="仿宋_GB2312"/>
          <w:color w:val="000000"/>
          <w:kern w:val="0"/>
          <w:sz w:val="32"/>
          <w:szCs w:val="32"/>
        </w:rPr>
        <w:t>亿元，占规模以上工业</w:t>
      </w:r>
      <w:r>
        <w:rPr>
          <w:rFonts w:hint="eastAsia" w:ascii="Times New Roman" w:hAnsi="Times New Roman" w:eastAsia="仿宋_GB2312"/>
          <w:color w:val="000000"/>
          <w:kern w:val="0"/>
          <w:sz w:val="32"/>
          <w:szCs w:val="32"/>
        </w:rPr>
        <w:t>主营业务收入</w:t>
      </w:r>
      <w:r>
        <w:rPr>
          <w:rFonts w:ascii="Times New Roman" w:hAnsi="Times New Roman" w:eastAsia="仿宋_GB2312"/>
          <w:color w:val="000000"/>
          <w:kern w:val="0"/>
          <w:sz w:val="32"/>
          <w:szCs w:val="32"/>
        </w:rPr>
        <w:t>的</w:t>
      </w:r>
      <w:r>
        <w:rPr>
          <w:rFonts w:hint="eastAsia" w:ascii="Times New Roman" w:hAnsi="Times New Roman" w:eastAsia="仿宋_GB2312"/>
          <w:color w:val="000000"/>
          <w:kern w:val="0"/>
          <w:sz w:val="32"/>
          <w:szCs w:val="32"/>
        </w:rPr>
        <w:t>4.1</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主要特点如下：</w:t>
      </w:r>
    </w:p>
    <w:p>
      <w:pPr>
        <w:autoSpaceDE w:val="0"/>
        <w:autoSpaceDN w:val="0"/>
        <w:adjustRightInd w:val="0"/>
        <w:spacing w:line="560" w:lineRule="exact"/>
        <w:ind w:firstLine="56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区位竞争优势强劲。东莞是全省造纸行业重点建设的三大基地之一，拥有规模以上造纸及纸制品业企业</w:t>
      </w:r>
      <w:r>
        <w:rPr>
          <w:rFonts w:hint="eastAsia" w:ascii="Times New Roman" w:hAnsi="Times New Roman" w:eastAsia="仿宋_GB2312"/>
          <w:color w:val="000000"/>
          <w:kern w:val="0"/>
          <w:sz w:val="32"/>
          <w:szCs w:val="32"/>
        </w:rPr>
        <w:t>202</w:t>
      </w:r>
      <w:r>
        <w:rPr>
          <w:rFonts w:ascii="Times New Roman" w:hAnsi="Times New Roman" w:eastAsia="仿宋_GB2312"/>
          <w:color w:val="000000"/>
          <w:kern w:val="0"/>
          <w:sz w:val="32"/>
          <w:szCs w:val="32"/>
        </w:rPr>
        <w:t>家。从珠三角城市看，东莞市造纸及纸制品业规模高居第一</w:t>
      </w:r>
      <w:r>
        <w:rPr>
          <w:rFonts w:hint="eastAsia" w:ascii="Times New Roman" w:hAnsi="Times New Roman" w:eastAsia="仿宋_GB2312"/>
          <w:color w:val="000000"/>
          <w:kern w:val="0"/>
          <w:sz w:val="32"/>
          <w:szCs w:val="32"/>
        </w:rPr>
        <w:t>。</w:t>
      </w:r>
    </w:p>
    <w:p>
      <w:pPr>
        <w:autoSpaceDE w:val="0"/>
        <w:autoSpaceDN w:val="0"/>
        <w:adjustRightInd w:val="0"/>
        <w:spacing w:line="600" w:lineRule="exact"/>
        <w:ind w:firstLine="56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良好的自然条件，临近市场。东莞地处珠江口，境内河网密布，水系较发达，具有发展大中型纸厂的优越条件。此外，珠江三角洲工业发达，用纸量大，东莞地处穗港经济走廊中间，周边地区市场活跃，纸及纸制品就近供应可减少运输费用，符合“市场在哪里，就在哪里发展”的原则。</w:t>
      </w:r>
    </w:p>
    <w:p>
      <w:pPr>
        <w:autoSpaceDE w:val="0"/>
        <w:autoSpaceDN w:val="0"/>
        <w:adjustRightInd w:val="0"/>
        <w:spacing w:line="600" w:lineRule="exact"/>
        <w:ind w:firstLine="56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3、</w:t>
      </w:r>
      <w:r>
        <w:rPr>
          <w:rFonts w:ascii="Times New Roman" w:hAnsi="Times New Roman" w:eastAsia="仿宋_GB2312"/>
          <w:color w:val="000000"/>
          <w:kern w:val="0"/>
          <w:sz w:val="32"/>
          <w:szCs w:val="32"/>
        </w:rPr>
        <w:t>产业集群优势明显。东莞已建成中国最大的造纸及纸制品生产基地，形成生产包装用纸（纸板）、生活用纸、包装、印刷、造纸机械、化工等工业相互配合、协调发展的产业链和产业集群。产业集聚效应的形成是东莞纸业竞争力较强的重要体现，拥有玖龙、理文、金</w:t>
      </w:r>
      <w:r>
        <w:rPr>
          <w:rFonts w:hint="eastAsia" w:ascii="Times New Roman" w:hAnsi="Times New Roman" w:eastAsia="仿宋_GB2312"/>
          <w:color w:val="000000"/>
          <w:kern w:val="0"/>
          <w:sz w:val="32"/>
          <w:szCs w:val="32"/>
        </w:rPr>
        <w:t>洲</w:t>
      </w:r>
      <w:r>
        <w:rPr>
          <w:rFonts w:ascii="Times New Roman" w:hAnsi="Times New Roman" w:eastAsia="仿宋_GB2312"/>
          <w:color w:val="000000"/>
          <w:kern w:val="0"/>
          <w:sz w:val="32"/>
          <w:szCs w:val="32"/>
        </w:rPr>
        <w:t>、银</w:t>
      </w:r>
      <w:r>
        <w:rPr>
          <w:rFonts w:hint="eastAsia" w:ascii="Times New Roman" w:hAnsi="Times New Roman" w:eastAsia="仿宋_GB2312"/>
          <w:color w:val="000000"/>
          <w:kern w:val="0"/>
          <w:sz w:val="32"/>
          <w:szCs w:val="32"/>
        </w:rPr>
        <w:t>洲</w:t>
      </w:r>
      <w:r>
        <w:rPr>
          <w:rFonts w:ascii="Times New Roman" w:hAnsi="Times New Roman" w:eastAsia="仿宋_GB2312"/>
          <w:color w:val="000000"/>
          <w:kern w:val="0"/>
          <w:sz w:val="32"/>
          <w:szCs w:val="32"/>
        </w:rPr>
        <w:t>等全国闻名的大中型企业，对外有较强的抗衡竞争能力，对内有进一步整合资源的能力，为进一步提升造纸产业竞争力打下了坚实的基础，产业集中度一直维持在相对较高的水平</w:t>
      </w:r>
      <w:r>
        <w:rPr>
          <w:rFonts w:hint="eastAsia" w:ascii="Times New Roman" w:hAnsi="Times New Roman" w:eastAsia="仿宋_GB2312"/>
          <w:color w:val="000000"/>
          <w:kern w:val="0"/>
          <w:sz w:val="32"/>
          <w:szCs w:val="32"/>
        </w:rPr>
        <w:t>。</w:t>
      </w:r>
    </w:p>
    <w:p>
      <w:pPr>
        <w:autoSpaceDE w:val="0"/>
        <w:autoSpaceDN w:val="0"/>
        <w:adjustRightInd w:val="0"/>
        <w:ind w:firstLine="56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由于自然条件的原因，全市大中型企业主要布局在东莞的水乡片。</w:t>
      </w:r>
    </w:p>
    <w:p>
      <w:pPr>
        <w:autoSpaceDE w:val="0"/>
        <w:autoSpaceDN w:val="0"/>
        <w:adjustRightInd w:val="0"/>
        <w:ind w:firstLine="56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eastAsia="zh-CN"/>
        </w:rPr>
        <w:t>二、</w:t>
      </w:r>
      <w:r>
        <w:rPr>
          <w:rFonts w:hint="eastAsia" w:ascii="黑体" w:hAnsi="黑体" w:eastAsia="黑体" w:cs="黑体"/>
          <w:color w:val="000000"/>
          <w:kern w:val="0"/>
          <w:sz w:val="32"/>
          <w:szCs w:val="32"/>
        </w:rPr>
        <w:t>四个特色产业</w:t>
      </w:r>
    </w:p>
    <w:p>
      <w:pPr>
        <w:numPr>
          <w:ilvl w:val="0"/>
          <w:numId w:val="1"/>
        </w:numPr>
        <w:autoSpaceDE w:val="0"/>
        <w:autoSpaceDN w:val="0"/>
        <w:adjustRightInd w:val="0"/>
        <w:spacing w:line="600" w:lineRule="exact"/>
        <w:ind w:left="0" w:leftChars="0" w:firstLine="640" w:firstLineChars="200"/>
        <w:outlineLvl w:val="1"/>
        <w:rPr>
          <w:rFonts w:hint="eastAsia" w:ascii="仿宋_GB2312" w:hAnsi="仿宋_GB2312" w:eastAsia="仿宋_GB2312" w:cs="仿宋_GB2312"/>
          <w:color w:val="000000"/>
          <w:kern w:val="0"/>
          <w:sz w:val="32"/>
          <w:szCs w:val="32"/>
        </w:rPr>
      </w:pPr>
      <w:bookmarkStart w:id="9" w:name="_Toc301540396"/>
      <w:bookmarkStart w:id="10" w:name="_Toc294768302"/>
      <w:r>
        <w:rPr>
          <w:rFonts w:hint="eastAsia" w:ascii="仿宋_GB2312" w:hAnsi="仿宋_GB2312" w:eastAsia="仿宋_GB2312" w:cs="仿宋_GB2312"/>
          <w:color w:val="000000"/>
          <w:kern w:val="0"/>
          <w:sz w:val="32"/>
          <w:szCs w:val="32"/>
        </w:rPr>
        <w:t>玩具及文体用品制造业</w:t>
      </w:r>
      <w:bookmarkEnd w:id="9"/>
      <w:bookmarkEnd w:id="10"/>
    </w:p>
    <w:p>
      <w:pPr>
        <w:autoSpaceDE w:val="0"/>
        <w:autoSpaceDN w:val="0"/>
        <w:adjustRightInd w:val="0"/>
        <w:spacing w:line="600" w:lineRule="exact"/>
        <w:ind w:firstLine="560"/>
        <w:rPr>
          <w:rFonts w:ascii="Times New Roman" w:hAnsi="Times New Roman" w:eastAsia="仿宋_GB2312"/>
          <w:color w:val="00B050"/>
          <w:kern w:val="0"/>
          <w:sz w:val="32"/>
          <w:szCs w:val="32"/>
        </w:rPr>
      </w:pPr>
      <w:r>
        <w:rPr>
          <w:rFonts w:ascii="Times New Roman" w:hAnsi="Times New Roman" w:eastAsia="仿宋_GB2312"/>
          <w:color w:val="000000"/>
          <w:kern w:val="0"/>
          <w:sz w:val="32"/>
          <w:szCs w:val="32"/>
        </w:rPr>
        <w:t>东莞玩具及文体用品制造业的发展和香港在国际玩具产业中的重要位置是分不开的。玩具产业通过与香港展开地域上的合作，产业配套逐步完善，而且始终保持了较高的专业化程度，成为世界重要的玩具生产基地。与此同时，近年来，以塘厦高尔夫产品为代表的各类体育用品及健身器材发展迅速，成为该产业的重要组成部分。</w:t>
      </w:r>
      <w:r>
        <w:rPr>
          <w:rFonts w:ascii="Times New Roman" w:hAnsi="Times New Roman" w:eastAsia="仿宋_GB2312"/>
          <w:color w:val="000000"/>
          <w:sz w:val="32"/>
          <w:szCs w:val="32"/>
        </w:rPr>
        <w:t>20</w:t>
      </w:r>
      <w:r>
        <w:rPr>
          <w:rFonts w:hint="eastAsia" w:ascii="Times New Roman" w:hAnsi="Times New Roman" w:eastAsia="仿宋_GB2312"/>
          <w:color w:val="000000"/>
          <w:sz w:val="32"/>
          <w:szCs w:val="32"/>
        </w:rPr>
        <w:t>16</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rPr>
        <w:t>玩具及文体用品制造业实现规模以上工业增加值110.99亿元，同比增长0.2%，</w:t>
      </w:r>
      <w:r>
        <w:rPr>
          <w:rFonts w:hint="eastAsia" w:ascii="Times New Roman" w:hAnsi="Times New Roman" w:eastAsia="仿宋_GB2312"/>
          <w:color w:val="000000"/>
          <w:kern w:val="0"/>
          <w:sz w:val="32"/>
          <w:szCs w:val="32"/>
        </w:rPr>
        <w:t>主要特点如下：</w:t>
      </w:r>
    </w:p>
    <w:p>
      <w:pPr>
        <w:autoSpaceDE w:val="0"/>
        <w:autoSpaceDN w:val="0"/>
        <w:adjustRightInd w:val="0"/>
        <w:spacing w:line="600" w:lineRule="exact"/>
        <w:ind w:firstLine="560"/>
        <w:rPr>
          <w:rFonts w:ascii="Times New Roman" w:hAnsi="Times New Roman" w:eastAsia="仿宋_GB2312"/>
          <w:color w:val="00B050"/>
          <w:kern w:val="0"/>
          <w:sz w:val="32"/>
          <w:szCs w:val="32"/>
        </w:rPr>
      </w:pP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产业相对规模和集聚优势明显。201</w:t>
      </w:r>
      <w:r>
        <w:rPr>
          <w:rFonts w:hint="eastAsia" w:ascii="Times New Roman" w:hAnsi="Times New Roman" w:eastAsia="仿宋_GB2312"/>
          <w:color w:val="000000"/>
          <w:kern w:val="0"/>
          <w:sz w:val="32"/>
          <w:szCs w:val="32"/>
        </w:rPr>
        <w:t>6</w:t>
      </w:r>
      <w:r>
        <w:rPr>
          <w:rFonts w:ascii="Times New Roman" w:hAnsi="Times New Roman" w:eastAsia="仿宋_GB2312"/>
          <w:color w:val="000000"/>
          <w:kern w:val="0"/>
          <w:sz w:val="32"/>
          <w:szCs w:val="32"/>
        </w:rPr>
        <w:t>年，东莞市玩具及文体用品制造业有规模以上企业</w:t>
      </w:r>
      <w:r>
        <w:rPr>
          <w:rFonts w:hint="eastAsia" w:ascii="Times New Roman" w:hAnsi="Times New Roman" w:eastAsia="仿宋_GB2312"/>
          <w:color w:val="000000"/>
          <w:kern w:val="0"/>
          <w:sz w:val="32"/>
          <w:szCs w:val="32"/>
        </w:rPr>
        <w:t>261</w:t>
      </w:r>
      <w:r>
        <w:rPr>
          <w:rFonts w:ascii="Times New Roman" w:hAnsi="Times New Roman" w:eastAsia="仿宋_GB2312"/>
          <w:color w:val="000000"/>
          <w:kern w:val="0"/>
          <w:sz w:val="32"/>
          <w:szCs w:val="32"/>
        </w:rPr>
        <w:t>家，占全市规模以上制造业企业总量的</w:t>
      </w:r>
      <w:r>
        <w:rPr>
          <w:rFonts w:hint="eastAsia" w:ascii="Times New Roman" w:hAnsi="Times New Roman" w:eastAsia="仿宋_GB2312"/>
          <w:color w:val="000000"/>
          <w:kern w:val="0"/>
          <w:sz w:val="32"/>
          <w:szCs w:val="32"/>
        </w:rPr>
        <w:t>4.6</w:t>
      </w:r>
      <w:r>
        <w:rPr>
          <w:rFonts w:ascii="Times New Roman" w:hAnsi="Times New Roman" w:eastAsia="仿宋_GB2312"/>
          <w:color w:val="000000"/>
          <w:kern w:val="0"/>
          <w:sz w:val="32"/>
          <w:szCs w:val="32"/>
        </w:rPr>
        <w:t>%；完成</w:t>
      </w:r>
      <w:r>
        <w:rPr>
          <w:rFonts w:hint="eastAsia" w:ascii="Times New Roman" w:hAnsi="Times New Roman" w:eastAsia="仿宋_GB2312"/>
          <w:color w:val="000000"/>
          <w:kern w:val="0"/>
          <w:sz w:val="32"/>
          <w:szCs w:val="32"/>
        </w:rPr>
        <w:t>主营业务收入406.3</w:t>
      </w:r>
      <w:r>
        <w:rPr>
          <w:rFonts w:ascii="Times New Roman" w:hAnsi="Times New Roman" w:eastAsia="仿宋_GB2312"/>
          <w:color w:val="000000"/>
          <w:kern w:val="0"/>
          <w:sz w:val="32"/>
          <w:szCs w:val="32"/>
        </w:rPr>
        <w:t>亿元，占规模以上工业的</w:t>
      </w:r>
      <w:r>
        <w:rPr>
          <w:rFonts w:hint="eastAsia" w:ascii="Times New Roman" w:hAnsi="Times New Roman" w:eastAsia="仿宋_GB2312"/>
          <w:color w:val="000000"/>
          <w:kern w:val="0"/>
          <w:sz w:val="32"/>
          <w:szCs w:val="32"/>
        </w:rPr>
        <w:t>2.8</w:t>
      </w:r>
      <w:r>
        <w:rPr>
          <w:rFonts w:ascii="Times New Roman" w:hAnsi="Times New Roman" w:eastAsia="仿宋_GB2312"/>
          <w:color w:val="000000"/>
          <w:kern w:val="0"/>
          <w:sz w:val="32"/>
          <w:szCs w:val="32"/>
        </w:rPr>
        <w:t>%。虽然绝对规模在东莞市各大产业中比较小，但与珠三角其他城市相比较，东莞市该产业在全省来看则是规模最大的</w:t>
      </w:r>
      <w:r>
        <w:rPr>
          <w:rFonts w:hint="eastAsia" w:ascii="Times New Roman" w:hAnsi="Times New Roman" w:eastAsia="仿宋_GB2312"/>
          <w:color w:val="000000"/>
          <w:kern w:val="0"/>
          <w:sz w:val="32"/>
          <w:szCs w:val="32"/>
        </w:rPr>
        <w:t>。主要集中在</w:t>
      </w:r>
      <w:r>
        <w:rPr>
          <w:rFonts w:ascii="Times New Roman" w:hAnsi="Times New Roman" w:eastAsia="仿宋_GB2312"/>
          <w:color w:val="000000"/>
          <w:kern w:val="0"/>
          <w:sz w:val="32"/>
          <w:szCs w:val="32"/>
        </w:rPr>
        <w:t>清溪、</w:t>
      </w:r>
      <w:r>
        <w:rPr>
          <w:rFonts w:hint="eastAsia" w:ascii="Times New Roman" w:hAnsi="Times New Roman" w:eastAsia="仿宋_GB2312"/>
          <w:color w:val="000000"/>
          <w:kern w:val="0"/>
          <w:sz w:val="32"/>
          <w:szCs w:val="32"/>
        </w:rPr>
        <w:t>石排、茶山、凤岗、长安、</w:t>
      </w:r>
      <w:r>
        <w:rPr>
          <w:rFonts w:ascii="Times New Roman" w:hAnsi="Times New Roman" w:eastAsia="仿宋_GB2312"/>
          <w:color w:val="000000"/>
          <w:kern w:val="0"/>
          <w:sz w:val="32"/>
          <w:szCs w:val="32"/>
        </w:rPr>
        <w:t>塘厦、虎门</w:t>
      </w:r>
      <w:r>
        <w:rPr>
          <w:rFonts w:hint="eastAsia" w:ascii="Times New Roman" w:hAnsi="Times New Roman" w:eastAsia="仿宋_GB2312"/>
          <w:color w:val="000000"/>
          <w:kern w:val="0"/>
          <w:sz w:val="32"/>
          <w:szCs w:val="32"/>
        </w:rPr>
        <w:t>等</w:t>
      </w:r>
      <w:r>
        <w:rPr>
          <w:rFonts w:ascii="Times New Roman" w:hAnsi="Times New Roman" w:eastAsia="仿宋_GB2312"/>
          <w:color w:val="000000"/>
          <w:kern w:val="0"/>
          <w:sz w:val="32"/>
          <w:szCs w:val="32"/>
        </w:rPr>
        <w:t>镇</w:t>
      </w:r>
      <w:r>
        <w:rPr>
          <w:rFonts w:hint="eastAsia" w:ascii="Times New Roman" w:hAnsi="Times New Roman" w:eastAsia="仿宋_GB2312"/>
          <w:color w:val="000000"/>
          <w:kern w:val="0"/>
          <w:sz w:val="32"/>
          <w:szCs w:val="32"/>
        </w:rPr>
        <w:t>。</w:t>
      </w:r>
    </w:p>
    <w:p>
      <w:pPr>
        <w:autoSpaceDE w:val="0"/>
        <w:autoSpaceDN w:val="0"/>
        <w:adjustRightInd w:val="0"/>
        <w:spacing w:line="600" w:lineRule="exact"/>
        <w:ind w:firstLine="56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营销渠道畅通，产品市场占有率较高。除了以OEM方式进入国际市场外，东莞玩具企业还积极参加香港国际玩具博览会、德国纽伦堡国际玩具博览会、广州国际玩具和儿童用品展览会以及上海玩具、模型及礼品展等各类国内外知名玩具产品展销会，提高东莞玩具品牌的知名度。</w:t>
      </w:r>
    </w:p>
    <w:p>
      <w:pPr>
        <w:spacing w:line="600" w:lineRule="exact"/>
        <w:ind w:firstLine="56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3</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依托动漫产业，发展潜力巨大。中国首个国家级动漫博览会已经永久落户东莞，包括功夫龙、开心超人等一批国内知名原创动漫企业，以及“武林外传”等一批知名动漫品牌，均已成功进驻东莞。全球的芭比娃娃近1/3是在东莞生产，HelloKitty、哆啦A梦、史努比、流氓兔等世界上几乎所有知名动漫品牌的衍生产品都在东莞生产。东莞强大的动漫衍生品加工制造能力，以及在承接世界动漫品牌的衍生品订单过程中，积累的先进生产工艺以及对外贸易的经验，将成为该产业转型升级的突破口。</w:t>
      </w:r>
    </w:p>
    <w:p>
      <w:pPr>
        <w:numPr>
          <w:ilvl w:val="0"/>
          <w:numId w:val="1"/>
        </w:numPr>
        <w:autoSpaceDE w:val="0"/>
        <w:autoSpaceDN w:val="0"/>
        <w:adjustRightInd w:val="0"/>
        <w:spacing w:line="600" w:lineRule="exact"/>
        <w:ind w:left="0" w:leftChars="0" w:firstLine="640" w:firstLineChars="200"/>
        <w:outlineLvl w:val="1"/>
        <w:rPr>
          <w:rFonts w:hint="eastAsia" w:ascii="仿宋_GB2312" w:hAnsi="仿宋_GB2312" w:eastAsia="仿宋_GB2312" w:cs="仿宋_GB2312"/>
          <w:color w:val="000000"/>
          <w:kern w:val="0"/>
          <w:sz w:val="32"/>
          <w:szCs w:val="32"/>
        </w:rPr>
      </w:pPr>
      <w:bookmarkStart w:id="11" w:name="_Toc301540397"/>
      <w:bookmarkStart w:id="12" w:name="_Toc294768303"/>
      <w:r>
        <w:rPr>
          <w:rFonts w:hint="eastAsia" w:ascii="仿宋_GB2312" w:hAnsi="仿宋_GB2312" w:eastAsia="仿宋_GB2312" w:cs="仿宋_GB2312"/>
          <w:color w:val="000000"/>
          <w:kern w:val="0"/>
          <w:sz w:val="32"/>
          <w:szCs w:val="32"/>
        </w:rPr>
        <w:t>家具制造业</w:t>
      </w:r>
      <w:bookmarkEnd w:id="11"/>
      <w:bookmarkEnd w:id="12"/>
    </w:p>
    <w:p>
      <w:pPr>
        <w:spacing w:line="600" w:lineRule="exact"/>
        <w:ind w:firstLine="56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家具业一直是东莞的优势传统工业，东莞的家具产品驰名中外，虽然近年来业内竞争呈白热化，但是东莞的家具业总体仍然表现良好，出口保持一定的竞争优势，国内市场规模增势良好。</w:t>
      </w:r>
      <w:r>
        <w:rPr>
          <w:rFonts w:ascii="Times New Roman" w:hAnsi="Times New Roman" w:eastAsia="仿宋_GB2312"/>
          <w:color w:val="000000"/>
          <w:sz w:val="32"/>
          <w:szCs w:val="32"/>
        </w:rPr>
        <w:t>201</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年，</w:t>
      </w:r>
      <w:r>
        <w:rPr>
          <w:rFonts w:hint="eastAsia" w:ascii="Times New Roman" w:hAnsi="Times New Roman" w:eastAsia="仿宋_GB2312"/>
          <w:color w:val="000000"/>
          <w:sz w:val="32"/>
          <w:szCs w:val="32"/>
        </w:rPr>
        <w:t>家具制造业实现规模以上工业增加值74.34亿元，同比下降0.5%，</w:t>
      </w:r>
      <w:r>
        <w:rPr>
          <w:rFonts w:hint="eastAsia" w:ascii="Times New Roman" w:hAnsi="Times New Roman" w:eastAsia="仿宋_GB2312"/>
          <w:color w:val="000000"/>
          <w:kern w:val="0"/>
          <w:sz w:val="32"/>
          <w:szCs w:val="32"/>
        </w:rPr>
        <w:t>主要特点如下：</w:t>
      </w:r>
    </w:p>
    <w:p>
      <w:pPr>
        <w:spacing w:line="600" w:lineRule="exact"/>
        <w:ind w:firstLine="56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区位优势明显，竞争力较为突出。201</w:t>
      </w:r>
      <w:r>
        <w:rPr>
          <w:rFonts w:hint="eastAsia" w:ascii="Times New Roman" w:hAnsi="Times New Roman" w:eastAsia="仿宋_GB2312"/>
          <w:color w:val="000000"/>
          <w:kern w:val="0"/>
          <w:sz w:val="32"/>
          <w:szCs w:val="32"/>
        </w:rPr>
        <w:t>6</w:t>
      </w:r>
      <w:r>
        <w:rPr>
          <w:rFonts w:ascii="Times New Roman" w:hAnsi="Times New Roman" w:eastAsia="仿宋_GB2312"/>
          <w:color w:val="000000"/>
          <w:kern w:val="0"/>
          <w:sz w:val="32"/>
          <w:szCs w:val="32"/>
        </w:rPr>
        <w:t>年，东莞市拥有规模以上家具企业</w:t>
      </w:r>
      <w:r>
        <w:rPr>
          <w:rFonts w:hint="eastAsia" w:ascii="Times New Roman" w:hAnsi="Times New Roman" w:eastAsia="仿宋_GB2312"/>
          <w:color w:val="000000"/>
          <w:kern w:val="0"/>
          <w:sz w:val="32"/>
          <w:szCs w:val="32"/>
        </w:rPr>
        <w:t>288</w:t>
      </w:r>
      <w:r>
        <w:rPr>
          <w:rFonts w:ascii="Times New Roman" w:hAnsi="Times New Roman" w:eastAsia="仿宋_GB2312"/>
          <w:color w:val="000000"/>
          <w:kern w:val="0"/>
          <w:sz w:val="32"/>
          <w:szCs w:val="32"/>
        </w:rPr>
        <w:t>家，完成</w:t>
      </w:r>
      <w:r>
        <w:rPr>
          <w:rFonts w:hint="eastAsia" w:ascii="Times New Roman" w:hAnsi="Times New Roman" w:eastAsia="仿宋_GB2312"/>
          <w:color w:val="000000"/>
          <w:kern w:val="0"/>
          <w:sz w:val="32"/>
          <w:szCs w:val="32"/>
        </w:rPr>
        <w:t>主营业务收入258.95</w:t>
      </w:r>
      <w:r>
        <w:rPr>
          <w:rFonts w:ascii="Times New Roman" w:hAnsi="Times New Roman" w:eastAsia="仿宋_GB2312"/>
          <w:color w:val="000000"/>
          <w:kern w:val="0"/>
          <w:sz w:val="32"/>
          <w:szCs w:val="32"/>
        </w:rPr>
        <w:t>亿元，占规模以上工业的</w:t>
      </w:r>
      <w:r>
        <w:rPr>
          <w:rFonts w:hint="eastAsia" w:ascii="Times New Roman" w:hAnsi="Times New Roman" w:eastAsia="仿宋_GB2312"/>
          <w:color w:val="000000"/>
          <w:kern w:val="0"/>
          <w:sz w:val="32"/>
          <w:szCs w:val="32"/>
        </w:rPr>
        <w:t>1.8</w:t>
      </w:r>
      <w:r>
        <w:rPr>
          <w:rFonts w:ascii="Times New Roman" w:hAnsi="Times New Roman" w:eastAsia="仿宋_GB2312"/>
          <w:color w:val="000000"/>
          <w:kern w:val="0"/>
          <w:sz w:val="32"/>
          <w:szCs w:val="32"/>
        </w:rPr>
        <w:t>%。家具产业虽然占东莞制造业的比重不大，但从全省看，东莞的家具产业规模优势仍然突出，仅次于佛山，居全省第二位</w:t>
      </w:r>
      <w:r>
        <w:rPr>
          <w:rFonts w:hint="eastAsia" w:ascii="Times New Roman" w:hAnsi="Times New Roman" w:eastAsia="仿宋_GB2312"/>
          <w:color w:val="000000"/>
          <w:kern w:val="0"/>
          <w:sz w:val="32"/>
          <w:szCs w:val="32"/>
        </w:rPr>
        <w:t>。</w:t>
      </w:r>
    </w:p>
    <w:p>
      <w:pPr>
        <w:spacing w:line="600" w:lineRule="exact"/>
        <w:ind w:firstLine="560"/>
        <w:rPr>
          <w:rFonts w:ascii="Times New Roman" w:hAnsi="Times New Roman"/>
          <w:color w:val="000000"/>
          <w:sz w:val="32"/>
          <w:szCs w:val="32"/>
        </w:rPr>
      </w:pP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产业链长，配套完善。东莞有全国最具规模的板厂，拥有全球最好的贴面料加工厂，拥有大量的五金厂，拥有属于全球500强企业的油漆涂料制造企业，拥有华南地区最大的木材供应市场，拥有亚洲最大的家具展览中心，产业的加工制造配套程度非常完善。</w:t>
      </w:r>
    </w:p>
    <w:p>
      <w:pPr>
        <w:spacing w:line="560" w:lineRule="exact"/>
        <w:ind w:firstLine="56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3、</w:t>
      </w:r>
      <w:r>
        <w:rPr>
          <w:rFonts w:ascii="Times New Roman" w:hAnsi="Times New Roman" w:eastAsia="仿宋_GB2312"/>
          <w:color w:val="000000"/>
          <w:kern w:val="0"/>
          <w:sz w:val="32"/>
          <w:szCs w:val="32"/>
        </w:rPr>
        <w:t>产业集群较为成熟。东莞市家具产业企业数量众多，主要集中在大岭山镇、清溪镇、东城街道以及厚街镇。其中大岭山镇、厚街镇已形成了较为成熟的产业集群。大岭山镇作为“亚太地区最大家具生产基地”、“中国家具出口第一镇”和“广东省产业集群升级示范区”，拥有从贴面、中纤板、五金配件、涂料、木材集散市场等一批配套产业组成的完善家具产业链。厚街镇创意家具作为东莞重要扶持的产业集群，除家具业外，与之相关的配件、涂料、材料等行业以及木板、皮料等八大专业市场也在近年获得了空前快速的发展，作为全国十佳展会之一的“国际名家具（东莞）展览会”已成功举办</w:t>
      </w:r>
      <w:r>
        <w:rPr>
          <w:rFonts w:hint="eastAsia" w:ascii="Times New Roman" w:hAnsi="Times New Roman" w:eastAsia="仿宋_GB2312"/>
          <w:color w:val="000000"/>
          <w:kern w:val="0"/>
          <w:sz w:val="32"/>
          <w:szCs w:val="32"/>
        </w:rPr>
        <w:t>36</w:t>
      </w:r>
      <w:r>
        <w:rPr>
          <w:rFonts w:ascii="Times New Roman" w:hAnsi="Times New Roman" w:eastAsia="仿宋_GB2312"/>
          <w:color w:val="000000"/>
          <w:kern w:val="0"/>
          <w:sz w:val="32"/>
          <w:szCs w:val="32"/>
        </w:rPr>
        <w:t>届。</w:t>
      </w:r>
    </w:p>
    <w:p>
      <w:pPr>
        <w:pStyle w:val="10"/>
        <w:autoSpaceDE w:val="0"/>
        <w:autoSpaceDN w:val="0"/>
        <w:adjustRightInd w:val="0"/>
        <w:spacing w:line="600" w:lineRule="exact"/>
        <w:ind w:firstLine="56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4</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民营企业的品牌意识明显增强。随着名牌带动战略实施的不断深入，民营企业拓展内销市场力度的不断加大，东莞家具业民营企业创品牌的意识明显增强。</w:t>
      </w:r>
    </w:p>
    <w:p>
      <w:pPr>
        <w:numPr>
          <w:ilvl w:val="0"/>
          <w:numId w:val="1"/>
        </w:numPr>
        <w:autoSpaceDE w:val="0"/>
        <w:autoSpaceDN w:val="0"/>
        <w:adjustRightInd w:val="0"/>
        <w:spacing w:line="600" w:lineRule="exact"/>
        <w:ind w:left="0" w:leftChars="0" w:firstLine="640" w:firstLineChars="200"/>
        <w:outlineLvl w:val="1"/>
        <w:rPr>
          <w:rFonts w:hint="eastAsia" w:ascii="仿宋_GB2312" w:hAnsi="仿宋_GB2312" w:eastAsia="仿宋_GB2312" w:cs="仿宋_GB2312"/>
          <w:color w:val="000000"/>
          <w:kern w:val="0"/>
          <w:sz w:val="32"/>
          <w:szCs w:val="32"/>
        </w:rPr>
      </w:pPr>
      <w:bookmarkStart w:id="13" w:name="_Toc301540398"/>
      <w:bookmarkStart w:id="14" w:name="_Toc294768304"/>
      <w:r>
        <w:rPr>
          <w:rFonts w:hint="eastAsia" w:ascii="仿宋_GB2312" w:hAnsi="仿宋_GB2312" w:eastAsia="仿宋_GB2312" w:cs="仿宋_GB2312"/>
          <w:color w:val="000000"/>
          <w:kern w:val="0"/>
          <w:sz w:val="32"/>
          <w:szCs w:val="32"/>
        </w:rPr>
        <w:t>化工制造业</w:t>
      </w:r>
      <w:bookmarkEnd w:id="13"/>
    </w:p>
    <w:p>
      <w:pPr>
        <w:autoSpaceDE w:val="0"/>
        <w:autoSpaceDN w:val="0"/>
        <w:adjustRightInd w:val="0"/>
        <w:spacing w:line="600" w:lineRule="exact"/>
        <w:ind w:firstLine="56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近年来，东莞市化工制造业的产业规模逐步扩大，201</w:t>
      </w:r>
      <w:r>
        <w:rPr>
          <w:rFonts w:hint="eastAsia" w:ascii="Times New Roman" w:hAnsi="Times New Roman" w:eastAsia="仿宋_GB2312"/>
          <w:color w:val="000000"/>
          <w:kern w:val="0"/>
          <w:sz w:val="32"/>
          <w:szCs w:val="32"/>
        </w:rPr>
        <w:t>6</w:t>
      </w:r>
      <w:r>
        <w:rPr>
          <w:rFonts w:ascii="Times New Roman" w:hAnsi="Times New Roman" w:eastAsia="仿宋_GB2312"/>
          <w:color w:val="000000"/>
          <w:kern w:val="0"/>
          <w:sz w:val="32"/>
          <w:szCs w:val="32"/>
        </w:rPr>
        <w:t>年，</w:t>
      </w:r>
      <w:r>
        <w:rPr>
          <w:rFonts w:hint="eastAsia" w:ascii="Times New Roman" w:hAnsi="Times New Roman" w:eastAsia="仿宋_GB2312"/>
          <w:color w:val="000000"/>
          <w:sz w:val="32"/>
          <w:szCs w:val="32"/>
        </w:rPr>
        <w:t>化工制造业实现规模以上工业增加值53.85亿元，同比增长2.9%，</w:t>
      </w:r>
      <w:r>
        <w:rPr>
          <w:rFonts w:ascii="Times New Roman" w:hAnsi="Times New Roman" w:eastAsia="仿宋_GB2312"/>
          <w:color w:val="000000"/>
          <w:kern w:val="0"/>
          <w:sz w:val="32"/>
          <w:szCs w:val="32"/>
        </w:rPr>
        <w:t>该产业拥有规模以上企业</w:t>
      </w:r>
      <w:r>
        <w:rPr>
          <w:rFonts w:hint="eastAsia" w:ascii="Times New Roman" w:hAnsi="Times New Roman" w:eastAsia="仿宋_GB2312"/>
          <w:color w:val="000000"/>
          <w:kern w:val="0"/>
          <w:sz w:val="32"/>
          <w:szCs w:val="32"/>
        </w:rPr>
        <w:t>192</w:t>
      </w:r>
      <w:r>
        <w:rPr>
          <w:rFonts w:ascii="Times New Roman" w:hAnsi="Times New Roman" w:eastAsia="仿宋_GB2312"/>
          <w:color w:val="000000"/>
          <w:kern w:val="0"/>
          <w:sz w:val="32"/>
          <w:szCs w:val="32"/>
        </w:rPr>
        <w:t>家，</w:t>
      </w:r>
      <w:r>
        <w:rPr>
          <w:rFonts w:hint="eastAsia" w:ascii="Times New Roman" w:hAnsi="Times New Roman" w:eastAsia="仿宋_GB2312"/>
          <w:color w:val="000000"/>
          <w:kern w:val="0"/>
          <w:sz w:val="32"/>
          <w:szCs w:val="32"/>
        </w:rPr>
        <w:t>主营业务收入达281.05</w:t>
      </w:r>
      <w:r>
        <w:rPr>
          <w:rFonts w:ascii="Times New Roman" w:hAnsi="Times New Roman" w:eastAsia="仿宋_GB2312"/>
          <w:color w:val="000000"/>
          <w:kern w:val="0"/>
          <w:sz w:val="32"/>
          <w:szCs w:val="32"/>
        </w:rPr>
        <w:t>亿元，占规模以上工业</w:t>
      </w:r>
      <w:r>
        <w:rPr>
          <w:rFonts w:hint="eastAsia" w:ascii="Times New Roman" w:hAnsi="Times New Roman" w:eastAsia="仿宋_GB2312"/>
          <w:color w:val="000000"/>
          <w:kern w:val="0"/>
          <w:sz w:val="32"/>
          <w:szCs w:val="32"/>
        </w:rPr>
        <w:t>主营业务收入</w:t>
      </w:r>
      <w:r>
        <w:rPr>
          <w:rFonts w:ascii="Times New Roman" w:hAnsi="Times New Roman" w:eastAsia="仿宋_GB2312"/>
          <w:color w:val="000000"/>
          <w:kern w:val="0"/>
          <w:sz w:val="32"/>
          <w:szCs w:val="32"/>
        </w:rPr>
        <w:t>的</w:t>
      </w:r>
      <w:r>
        <w:rPr>
          <w:rFonts w:hint="eastAsia" w:ascii="Times New Roman" w:hAnsi="Times New Roman" w:eastAsia="仿宋_GB2312"/>
          <w:color w:val="000000"/>
          <w:kern w:val="0"/>
          <w:sz w:val="32"/>
          <w:szCs w:val="32"/>
        </w:rPr>
        <w:t>1.9</w:t>
      </w:r>
      <w:r>
        <w:rPr>
          <w:rFonts w:ascii="Times New Roman" w:hAnsi="Times New Roman" w:eastAsia="仿宋_GB2312"/>
          <w:color w:val="000000"/>
          <w:kern w:val="0"/>
          <w:sz w:val="32"/>
          <w:szCs w:val="32"/>
        </w:rPr>
        <w:t>%。该产业与周边城市相比，规模相对较小。但通过与周边城市错位发展，产业发展潜力和后劲将不断增强。</w:t>
      </w:r>
      <w:r>
        <w:rPr>
          <w:rFonts w:hint="eastAsia" w:ascii="Times New Roman" w:hAnsi="Times New Roman" w:eastAsia="仿宋_GB2312"/>
          <w:color w:val="000000"/>
          <w:kern w:val="0"/>
          <w:sz w:val="32"/>
          <w:szCs w:val="32"/>
        </w:rPr>
        <w:t>主要特点如下：</w:t>
      </w:r>
    </w:p>
    <w:p>
      <w:pPr>
        <w:autoSpaceDE w:val="0"/>
        <w:autoSpaceDN w:val="0"/>
        <w:adjustRightInd w:val="0"/>
        <w:spacing w:line="600" w:lineRule="exact"/>
        <w:ind w:firstLine="56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市场需求巨大，产业发展稳健。作为全球著名加工制造业基地的东莞，对石化产品需求巨大。特别是电子、家具、纺织、制鞋等产业规模较大，为化工制造业的发展提供了广大的市场空间，使该产业发展一直稳健</w:t>
      </w:r>
      <w:r>
        <w:rPr>
          <w:rFonts w:hint="eastAsia" w:ascii="Times New Roman" w:hAnsi="Times New Roman" w:eastAsia="仿宋_GB2312"/>
          <w:color w:val="000000"/>
          <w:kern w:val="0"/>
          <w:sz w:val="32"/>
          <w:szCs w:val="32"/>
        </w:rPr>
        <w:t>。</w:t>
      </w:r>
    </w:p>
    <w:p>
      <w:pPr>
        <w:autoSpaceDE w:val="0"/>
        <w:autoSpaceDN w:val="0"/>
        <w:adjustRightInd w:val="0"/>
        <w:spacing w:line="600" w:lineRule="exact"/>
        <w:ind w:firstLine="560"/>
        <w:rPr>
          <w:rFonts w:ascii="Times New Roman" w:hAnsi="Times New Roman" w:eastAsia="仿宋_GB2312"/>
          <w:color w:val="00B050"/>
          <w:sz w:val="32"/>
          <w:szCs w:val="32"/>
        </w:rPr>
      </w:pP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用工需求不大，</w:t>
      </w:r>
      <w:r>
        <w:rPr>
          <w:rFonts w:ascii="Times New Roman" w:hAnsi="Times New Roman" w:eastAsia="仿宋_GB2312"/>
          <w:color w:val="000000"/>
          <w:sz w:val="32"/>
          <w:szCs w:val="32"/>
        </w:rPr>
        <w:t>产出效益较好。</w:t>
      </w:r>
      <w:r>
        <w:rPr>
          <w:rFonts w:ascii="Times New Roman" w:hAnsi="Times New Roman" w:eastAsia="仿宋_GB2312"/>
          <w:color w:val="000000"/>
          <w:kern w:val="0"/>
          <w:sz w:val="32"/>
          <w:szCs w:val="32"/>
        </w:rPr>
        <w:t>相对而言，化工制造业属于资本密集型产业，自动化程度较高，普遍用工数量较少，该产业以占全市制造业</w:t>
      </w:r>
      <w:r>
        <w:rPr>
          <w:rFonts w:hint="eastAsia" w:ascii="Times New Roman" w:hAnsi="Times New Roman" w:eastAsia="仿宋_GB2312"/>
          <w:color w:val="000000"/>
          <w:kern w:val="0"/>
          <w:sz w:val="32"/>
          <w:szCs w:val="32"/>
        </w:rPr>
        <w:t>1.1</w:t>
      </w:r>
      <w:r>
        <w:rPr>
          <w:rFonts w:ascii="Times New Roman" w:hAnsi="Times New Roman" w:eastAsia="仿宋_GB2312"/>
          <w:color w:val="000000"/>
          <w:kern w:val="0"/>
          <w:sz w:val="32"/>
          <w:szCs w:val="32"/>
        </w:rPr>
        <w:t>%的从业人员，产生了占全市制造业</w:t>
      </w:r>
      <w:r>
        <w:rPr>
          <w:rFonts w:hint="eastAsia" w:ascii="Times New Roman" w:hAnsi="Times New Roman" w:eastAsia="仿宋_GB2312"/>
          <w:color w:val="000000"/>
          <w:kern w:val="0"/>
          <w:sz w:val="32"/>
          <w:szCs w:val="32"/>
        </w:rPr>
        <w:t>1.9</w:t>
      </w:r>
      <w:r>
        <w:rPr>
          <w:rFonts w:ascii="Times New Roman" w:hAnsi="Times New Roman" w:eastAsia="仿宋_GB2312"/>
          <w:color w:val="000000"/>
          <w:kern w:val="0"/>
          <w:sz w:val="32"/>
          <w:szCs w:val="32"/>
        </w:rPr>
        <w:t>%的</w:t>
      </w:r>
      <w:r>
        <w:rPr>
          <w:rFonts w:hint="eastAsia" w:ascii="Times New Roman" w:hAnsi="Times New Roman" w:eastAsia="仿宋_GB2312"/>
          <w:color w:val="000000"/>
          <w:kern w:val="0"/>
          <w:sz w:val="32"/>
          <w:szCs w:val="32"/>
        </w:rPr>
        <w:t>主营业务收入。</w:t>
      </w:r>
    </w:p>
    <w:p>
      <w:pPr>
        <w:widowControl/>
        <w:spacing w:line="600" w:lineRule="exact"/>
        <w:ind w:firstLine="560"/>
        <w:jc w:val="left"/>
        <w:rPr>
          <w:rFonts w:ascii="Times New Roman" w:hAnsi="Times New Roman" w:eastAsia="仿宋_GB2312"/>
          <w:color w:val="000000"/>
          <w:sz w:val="32"/>
          <w:szCs w:val="32"/>
        </w:rPr>
      </w:pPr>
      <w:r>
        <w:rPr>
          <w:rFonts w:hint="eastAsia" w:ascii="Times New Roman" w:hAnsi="Times New Roman" w:eastAsia="仿宋_GB2312"/>
          <w:color w:val="000000"/>
          <w:kern w:val="0"/>
          <w:sz w:val="32"/>
          <w:szCs w:val="32"/>
        </w:rPr>
        <w:t>3、</w:t>
      </w:r>
      <w:r>
        <w:rPr>
          <w:rFonts w:ascii="Times New Roman" w:hAnsi="Times New Roman" w:eastAsia="仿宋_GB2312"/>
          <w:color w:val="000000"/>
          <w:kern w:val="0"/>
          <w:sz w:val="32"/>
          <w:szCs w:val="32"/>
        </w:rPr>
        <w:t>产业基础良好，发展前景广阔。</w:t>
      </w:r>
      <w:r>
        <w:rPr>
          <w:rFonts w:ascii="Times New Roman" w:hAnsi="Times New Roman" w:eastAsia="仿宋_GB2312"/>
          <w:color w:val="000000"/>
          <w:sz w:val="32"/>
          <w:szCs w:val="32"/>
        </w:rPr>
        <w:t>在各镇街中，大岭山、沙田、东城、虎门、麻涌已形成了较大规模，拥有银禧科技、新长桥、罗门哈斯、大宝化工、阿克苏诺贝尔等一批规模较大的企业支撑。虎门港立沙岛精细化工高端产业集聚区将与周边城市的大型化工错位发展，延伸下游产业链，紧扣东莞支柱产业现状，重点培育和发展电子化学品、化工助剂、改性材料、聚氨酯深加工、塑料合金、工程塑料等产品，为下游的电子、服装、制鞋、家具等厂商提供化工原料。</w:t>
      </w:r>
    </w:p>
    <w:p>
      <w:pPr>
        <w:numPr>
          <w:ilvl w:val="0"/>
          <w:numId w:val="1"/>
        </w:numPr>
        <w:autoSpaceDE w:val="0"/>
        <w:autoSpaceDN w:val="0"/>
        <w:adjustRightInd w:val="0"/>
        <w:spacing w:line="600" w:lineRule="exact"/>
        <w:ind w:left="0" w:leftChars="0" w:firstLine="640" w:firstLineChars="200"/>
        <w:outlineLvl w:val="1"/>
        <w:rPr>
          <w:rFonts w:hint="eastAsia" w:ascii="仿宋_GB2312" w:hAnsi="仿宋_GB2312" w:eastAsia="仿宋_GB2312" w:cs="仿宋_GB2312"/>
          <w:color w:val="000000"/>
          <w:kern w:val="0"/>
          <w:sz w:val="32"/>
          <w:szCs w:val="32"/>
        </w:rPr>
      </w:pPr>
      <w:bookmarkStart w:id="15" w:name="_Toc301540399"/>
      <w:r>
        <w:rPr>
          <w:rFonts w:hint="eastAsia" w:ascii="仿宋_GB2312" w:hAnsi="仿宋_GB2312" w:eastAsia="仿宋_GB2312" w:cs="仿宋_GB2312"/>
          <w:color w:val="000000"/>
          <w:kern w:val="0"/>
          <w:sz w:val="32"/>
          <w:szCs w:val="32"/>
        </w:rPr>
        <w:t>包装印刷业</w:t>
      </w:r>
      <w:bookmarkEnd w:id="14"/>
      <w:bookmarkEnd w:id="15"/>
    </w:p>
    <w:p>
      <w:pPr>
        <w:autoSpaceDE w:val="0"/>
        <w:autoSpaceDN w:val="0"/>
        <w:adjustRightInd w:val="0"/>
        <w:spacing w:line="600" w:lineRule="exact"/>
        <w:ind w:firstLine="560"/>
        <w:rPr>
          <w:rFonts w:ascii="Times New Roman" w:hAnsi="Times New Roman" w:eastAsia="仿宋_GB2312"/>
          <w:color w:val="00B050"/>
          <w:kern w:val="0"/>
          <w:sz w:val="32"/>
          <w:szCs w:val="32"/>
        </w:rPr>
      </w:pPr>
      <w:r>
        <w:rPr>
          <w:rFonts w:ascii="Times New Roman" w:hAnsi="Times New Roman" w:eastAsia="仿宋_GB2312"/>
          <w:color w:val="000000"/>
          <w:kern w:val="0"/>
          <w:sz w:val="32"/>
          <w:szCs w:val="32"/>
        </w:rPr>
        <w:t>近年来，东莞市包装印刷业发展迅速，产业规模不断扩大，产业区际竞争力不断增强，已逐渐发展成为东莞市的一个特色产业。201</w:t>
      </w:r>
      <w:r>
        <w:rPr>
          <w:rFonts w:hint="eastAsia" w:ascii="Times New Roman" w:hAnsi="Times New Roman" w:eastAsia="仿宋_GB2312"/>
          <w:color w:val="000000"/>
          <w:kern w:val="0"/>
          <w:sz w:val="32"/>
          <w:szCs w:val="32"/>
        </w:rPr>
        <w:t>6</w:t>
      </w:r>
      <w:r>
        <w:rPr>
          <w:rFonts w:ascii="Times New Roman" w:hAnsi="Times New Roman" w:eastAsia="仿宋_GB2312"/>
          <w:color w:val="000000"/>
          <w:kern w:val="0"/>
          <w:sz w:val="32"/>
          <w:szCs w:val="32"/>
        </w:rPr>
        <w:t>年，</w:t>
      </w:r>
      <w:r>
        <w:rPr>
          <w:rFonts w:hint="eastAsia" w:ascii="Times New Roman" w:hAnsi="Times New Roman" w:eastAsia="仿宋_GB2312"/>
          <w:color w:val="000000"/>
          <w:sz w:val="32"/>
          <w:szCs w:val="32"/>
        </w:rPr>
        <w:t>包装印刷业实现规模以上工业增加值42.3亿元，</w:t>
      </w:r>
      <w:r>
        <w:rPr>
          <w:rFonts w:ascii="Times New Roman" w:hAnsi="Times New Roman" w:eastAsia="仿宋_GB2312"/>
          <w:color w:val="000000"/>
          <w:kern w:val="0"/>
          <w:sz w:val="32"/>
          <w:szCs w:val="32"/>
        </w:rPr>
        <w:t>拥有规模以上企业</w:t>
      </w:r>
      <w:r>
        <w:rPr>
          <w:rFonts w:hint="eastAsia" w:ascii="Times New Roman" w:hAnsi="Times New Roman" w:eastAsia="仿宋_GB2312"/>
          <w:color w:val="000000"/>
          <w:kern w:val="0"/>
          <w:sz w:val="32"/>
          <w:szCs w:val="32"/>
        </w:rPr>
        <w:t>118</w:t>
      </w:r>
      <w:r>
        <w:rPr>
          <w:rFonts w:ascii="Times New Roman" w:hAnsi="Times New Roman" w:eastAsia="仿宋_GB2312"/>
          <w:color w:val="000000"/>
          <w:kern w:val="0"/>
          <w:sz w:val="32"/>
          <w:szCs w:val="32"/>
        </w:rPr>
        <w:t>家，完成</w:t>
      </w:r>
      <w:r>
        <w:rPr>
          <w:rFonts w:hint="eastAsia" w:ascii="Times New Roman" w:hAnsi="Times New Roman" w:eastAsia="仿宋_GB2312"/>
          <w:color w:val="000000"/>
          <w:kern w:val="0"/>
          <w:sz w:val="32"/>
          <w:szCs w:val="32"/>
        </w:rPr>
        <w:t>主营业务收入149.95</w:t>
      </w:r>
      <w:r>
        <w:rPr>
          <w:rFonts w:ascii="Times New Roman" w:hAnsi="Times New Roman" w:eastAsia="仿宋_GB2312"/>
          <w:color w:val="000000"/>
          <w:kern w:val="0"/>
          <w:sz w:val="32"/>
          <w:szCs w:val="32"/>
        </w:rPr>
        <w:t>亿元，占规模以上工业</w:t>
      </w:r>
      <w:r>
        <w:rPr>
          <w:rFonts w:hint="eastAsia" w:ascii="Times New Roman" w:hAnsi="Times New Roman" w:eastAsia="仿宋_GB2312"/>
          <w:color w:val="000000"/>
          <w:kern w:val="0"/>
          <w:sz w:val="32"/>
          <w:szCs w:val="32"/>
        </w:rPr>
        <w:t>主营业务收入</w:t>
      </w:r>
      <w:r>
        <w:rPr>
          <w:rFonts w:ascii="Times New Roman" w:hAnsi="Times New Roman" w:eastAsia="仿宋_GB2312"/>
          <w:color w:val="000000"/>
          <w:kern w:val="0"/>
          <w:sz w:val="32"/>
          <w:szCs w:val="32"/>
        </w:rPr>
        <w:t>的</w:t>
      </w: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主要特点如下：</w:t>
      </w:r>
    </w:p>
    <w:p>
      <w:pPr>
        <w:autoSpaceDE w:val="0"/>
        <w:autoSpaceDN w:val="0"/>
        <w:adjustRightInd w:val="0"/>
        <w:spacing w:line="600" w:lineRule="exact"/>
        <w:ind w:firstLine="560"/>
        <w:rPr>
          <w:rFonts w:ascii="Times New Roman" w:hAnsi="Times New Roman" w:eastAsia="仿宋_GB2312"/>
          <w:color w:val="FF0000"/>
          <w:kern w:val="0"/>
          <w:sz w:val="32"/>
          <w:szCs w:val="32"/>
        </w:rPr>
      </w:pPr>
      <w:r>
        <w:rPr>
          <w:rFonts w:hint="eastAsia" w:ascii="Times New Roman" w:hAnsi="Times New Roman" w:eastAsia="仿宋_GB2312"/>
          <w:color w:val="000000"/>
          <w:kern w:val="0"/>
          <w:sz w:val="32"/>
          <w:szCs w:val="32"/>
        </w:rPr>
        <w:t>1、</w:t>
      </w:r>
      <w:r>
        <w:rPr>
          <w:rFonts w:ascii="Times New Roman" w:hAnsi="Times New Roman" w:eastAsia="仿宋_GB2312"/>
          <w:color w:val="000000"/>
          <w:kern w:val="0"/>
          <w:sz w:val="32"/>
          <w:szCs w:val="32"/>
        </w:rPr>
        <w:t>区位优势明显，竞争力比较突出。珠三角包装印刷业份额占全国的三分之一同时随着产业结构升级的速度加快，东莞包装印刷业的竞争力也在不断提升。</w:t>
      </w:r>
    </w:p>
    <w:p>
      <w:pPr>
        <w:autoSpaceDE w:val="0"/>
        <w:autoSpaceDN w:val="0"/>
        <w:adjustRightInd w:val="0"/>
        <w:spacing w:line="600" w:lineRule="exact"/>
        <w:ind w:firstLine="56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2、</w:t>
      </w:r>
      <w:r>
        <w:rPr>
          <w:rFonts w:ascii="Times New Roman" w:hAnsi="Times New Roman" w:eastAsia="仿宋_GB2312"/>
          <w:color w:val="000000"/>
          <w:kern w:val="0"/>
          <w:sz w:val="32"/>
          <w:szCs w:val="32"/>
        </w:rPr>
        <w:t>产业体系比较完善，产业集中度比较高。目前，东莞包装印刷业已建成印前、印刷、印后及印刷耗材设备供应服务等相对完善的产业体系，印刷技术和设备的应用水平处于全国领先地位，已发展成为中国南方重要的印刷基地之一。</w:t>
      </w:r>
    </w:p>
    <w:p>
      <w:pPr>
        <w:pStyle w:val="9"/>
        <w:spacing w:line="600" w:lineRule="exact"/>
        <w:ind w:firstLine="560"/>
        <w:rPr>
          <w:rFonts w:eastAsia="仿宋_GB2312"/>
          <w:color w:val="000000"/>
          <w:kern w:val="0"/>
          <w:sz w:val="32"/>
          <w:szCs w:val="32"/>
        </w:rPr>
      </w:pPr>
      <w:r>
        <w:rPr>
          <w:rFonts w:hint="eastAsia" w:eastAsia="仿宋_GB2312"/>
          <w:color w:val="000000"/>
          <w:kern w:val="0"/>
          <w:sz w:val="32"/>
          <w:szCs w:val="32"/>
        </w:rPr>
        <w:t>3、</w:t>
      </w:r>
      <w:r>
        <w:rPr>
          <w:rFonts w:eastAsia="仿宋_GB2312"/>
          <w:color w:val="000000"/>
          <w:kern w:val="0"/>
          <w:sz w:val="32"/>
          <w:szCs w:val="32"/>
        </w:rPr>
        <w:t>上游产业发达，原材料供应充足。作为东莞印刷业的上游产业</w:t>
      </w:r>
      <w:r>
        <w:rPr>
          <w:color w:val="000000"/>
          <w:kern w:val="0"/>
          <w:sz w:val="32"/>
          <w:szCs w:val="32"/>
        </w:rPr>
        <w:t>——</w:t>
      </w:r>
      <w:r>
        <w:rPr>
          <w:rFonts w:eastAsia="仿宋_GB2312"/>
          <w:color w:val="000000"/>
          <w:kern w:val="0"/>
          <w:sz w:val="32"/>
          <w:szCs w:val="32"/>
        </w:rPr>
        <w:t>造纸产业非常发达，在全省乃至全国有着明显的规模优势，为东莞包装印刷业的发展提供充足的原材料，在运输成本方面也体现了明显的优势。</w:t>
      </w:r>
    </w:p>
    <w:p>
      <w:pPr>
        <w:pStyle w:val="9"/>
        <w:spacing w:line="600" w:lineRule="exact"/>
        <w:ind w:firstLine="560"/>
        <w:rPr>
          <w:rFonts w:eastAsia="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lang w:eastAsia="zh-CN"/>
        </w:rPr>
        <w:t>三、</w:t>
      </w:r>
      <w:r>
        <w:rPr>
          <w:rFonts w:hint="eastAsia" w:ascii="黑体" w:hAnsi="黑体" w:eastAsia="黑体" w:cs="黑体"/>
          <w:b w:val="0"/>
          <w:bCs w:val="0"/>
          <w:color w:val="000000"/>
          <w:sz w:val="32"/>
          <w:szCs w:val="32"/>
        </w:rPr>
        <w:t>2014-2016年我市支柱、特色产业相关指标对比表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黑体" w:hAnsi="黑体" w:eastAsia="黑体" w:cs="黑体"/>
          <w:b w:val="0"/>
          <w:bCs w:val="0"/>
          <w:color w:val="000000"/>
          <w:sz w:val="32"/>
          <w:szCs w:val="32"/>
        </w:rPr>
      </w:pPr>
    </w:p>
    <w:tbl>
      <w:tblPr>
        <w:tblStyle w:val="6"/>
        <w:tblW w:w="11055" w:type="dxa"/>
        <w:jc w:val="center"/>
        <w:tblInd w:w="-885" w:type="dxa"/>
        <w:tblLayout w:type="fixed"/>
        <w:tblCellMar>
          <w:top w:w="0" w:type="dxa"/>
          <w:left w:w="108" w:type="dxa"/>
          <w:bottom w:w="0" w:type="dxa"/>
          <w:right w:w="108" w:type="dxa"/>
        </w:tblCellMar>
      </w:tblPr>
      <w:tblGrid>
        <w:gridCol w:w="2120"/>
        <w:gridCol w:w="873"/>
        <w:gridCol w:w="781"/>
        <w:gridCol w:w="772"/>
        <w:gridCol w:w="700"/>
        <w:gridCol w:w="800"/>
        <w:gridCol w:w="680"/>
        <w:gridCol w:w="681"/>
        <w:gridCol w:w="683"/>
        <w:gridCol w:w="832"/>
        <w:gridCol w:w="681"/>
        <w:gridCol w:w="730"/>
        <w:gridCol w:w="722"/>
      </w:tblGrid>
      <w:tr>
        <w:tblPrEx>
          <w:tblLayout w:type="fixed"/>
          <w:tblCellMar>
            <w:top w:w="0" w:type="dxa"/>
            <w:left w:w="108" w:type="dxa"/>
            <w:bottom w:w="0" w:type="dxa"/>
            <w:right w:w="108" w:type="dxa"/>
          </w:tblCellMar>
        </w:tblPrEx>
        <w:trPr>
          <w:trHeight w:val="567" w:hRule="atLeast"/>
          <w:jc w:val="center"/>
        </w:trPr>
        <w:tc>
          <w:tcPr>
            <w:tcW w:w="21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项目</w:t>
            </w:r>
          </w:p>
        </w:tc>
        <w:tc>
          <w:tcPr>
            <w:tcW w:w="3126"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2014年</w:t>
            </w:r>
          </w:p>
        </w:tc>
        <w:tc>
          <w:tcPr>
            <w:tcW w:w="2844"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2015年</w:t>
            </w:r>
          </w:p>
        </w:tc>
        <w:tc>
          <w:tcPr>
            <w:tcW w:w="2965"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2016年</w:t>
            </w:r>
          </w:p>
        </w:tc>
      </w:tr>
      <w:tr>
        <w:tblPrEx>
          <w:tblLayout w:type="fixed"/>
          <w:tblCellMar>
            <w:top w:w="0" w:type="dxa"/>
            <w:left w:w="108" w:type="dxa"/>
            <w:bottom w:w="0" w:type="dxa"/>
            <w:right w:w="108" w:type="dxa"/>
          </w:tblCellMar>
        </w:tblPrEx>
        <w:trPr>
          <w:trHeight w:val="567" w:hRule="atLeast"/>
          <w:jc w:val="center"/>
        </w:trPr>
        <w:tc>
          <w:tcPr>
            <w:tcW w:w="212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工业增加值</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（亿元）</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增速（%）</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占比（%）</w:t>
            </w:r>
          </w:p>
        </w:tc>
        <w:tc>
          <w:tcPr>
            <w:tcW w:w="7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贡献率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8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增加值（亿元）</w:t>
            </w:r>
          </w:p>
        </w:tc>
        <w:tc>
          <w:tcPr>
            <w:tcW w:w="6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增速（%）</w:t>
            </w:r>
          </w:p>
        </w:tc>
        <w:tc>
          <w:tcPr>
            <w:tcW w:w="6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占比（%）</w:t>
            </w:r>
          </w:p>
        </w:tc>
        <w:tc>
          <w:tcPr>
            <w:tcW w:w="68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贡献率（%）</w:t>
            </w:r>
          </w:p>
        </w:tc>
        <w:tc>
          <w:tcPr>
            <w:tcW w:w="83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工业增加值</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（亿元）</w:t>
            </w:r>
          </w:p>
        </w:tc>
        <w:tc>
          <w:tcPr>
            <w:tcW w:w="6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增速（%）</w:t>
            </w:r>
          </w:p>
        </w:tc>
        <w:tc>
          <w:tcPr>
            <w:tcW w:w="7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占比（%）</w:t>
            </w:r>
          </w:p>
        </w:tc>
        <w:tc>
          <w:tcPr>
            <w:tcW w:w="72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贡献率（%）</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全市规模以上工业</w:t>
            </w:r>
          </w:p>
        </w:tc>
        <w:tc>
          <w:tcPr>
            <w:tcW w:w="87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2593.5</w:t>
            </w:r>
          </w:p>
        </w:tc>
        <w:tc>
          <w:tcPr>
            <w:tcW w:w="7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8.8</w:t>
            </w:r>
          </w:p>
        </w:tc>
        <w:tc>
          <w:tcPr>
            <w:tcW w:w="77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7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8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2711.1</w:t>
            </w:r>
          </w:p>
        </w:tc>
        <w:tc>
          <w:tcPr>
            <w:tcW w:w="68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5.3</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68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83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2878.2</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7.0</w:t>
            </w:r>
          </w:p>
        </w:tc>
        <w:tc>
          <w:tcPr>
            <w:tcW w:w="73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72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电子信息制造业</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848.4</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16.9</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32.7</w:t>
            </w:r>
          </w:p>
        </w:tc>
        <w:tc>
          <w:tcPr>
            <w:tcW w:w="7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59.2</w:t>
            </w:r>
          </w:p>
        </w:tc>
        <w:tc>
          <w:tcPr>
            <w:tcW w:w="8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896.5</w:t>
            </w:r>
          </w:p>
        </w:tc>
        <w:tc>
          <w:tcPr>
            <w:tcW w:w="6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11.4</w:t>
            </w:r>
          </w:p>
        </w:tc>
        <w:tc>
          <w:tcPr>
            <w:tcW w:w="6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33.1</w:t>
            </w:r>
          </w:p>
        </w:tc>
        <w:tc>
          <w:tcPr>
            <w:tcW w:w="68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67.0</w:t>
            </w:r>
          </w:p>
        </w:tc>
        <w:tc>
          <w:tcPr>
            <w:tcW w:w="83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974.3</w:t>
            </w:r>
          </w:p>
        </w:tc>
        <w:tc>
          <w:tcPr>
            <w:tcW w:w="6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19.2</w:t>
            </w:r>
          </w:p>
        </w:tc>
        <w:tc>
          <w:tcPr>
            <w:tcW w:w="7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33.8</w:t>
            </w:r>
          </w:p>
        </w:tc>
        <w:tc>
          <w:tcPr>
            <w:tcW w:w="72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81.3</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电气机械及设备制造业</w:t>
            </w:r>
          </w:p>
        </w:tc>
        <w:tc>
          <w:tcPr>
            <w:tcW w:w="87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435.9</w:t>
            </w:r>
          </w:p>
        </w:tc>
        <w:tc>
          <w:tcPr>
            <w:tcW w:w="7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5.8</w:t>
            </w:r>
          </w:p>
        </w:tc>
        <w:tc>
          <w:tcPr>
            <w:tcW w:w="77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16.8</w:t>
            </w:r>
          </w:p>
        </w:tc>
        <w:tc>
          <w:tcPr>
            <w:tcW w:w="7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11.4</w:t>
            </w:r>
          </w:p>
        </w:tc>
        <w:tc>
          <w:tcPr>
            <w:tcW w:w="8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463.8</w:t>
            </w:r>
          </w:p>
        </w:tc>
        <w:tc>
          <w:tcPr>
            <w:tcW w:w="68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2.4</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17.1</w:t>
            </w:r>
          </w:p>
        </w:tc>
        <w:tc>
          <w:tcPr>
            <w:tcW w:w="68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7.9</w:t>
            </w:r>
          </w:p>
        </w:tc>
        <w:tc>
          <w:tcPr>
            <w:tcW w:w="83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493.7</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4.0</w:t>
            </w:r>
          </w:p>
        </w:tc>
        <w:tc>
          <w:tcPr>
            <w:tcW w:w="73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17.2</w:t>
            </w:r>
          </w:p>
        </w:tc>
        <w:tc>
          <w:tcPr>
            <w:tcW w:w="72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10.2</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纺织服装鞋帽制造业</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313.3</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3.4</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12.1</w:t>
            </w:r>
          </w:p>
        </w:tc>
        <w:tc>
          <w:tcPr>
            <w:tcW w:w="7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4.8</w:t>
            </w:r>
          </w:p>
        </w:tc>
        <w:tc>
          <w:tcPr>
            <w:tcW w:w="8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311.9</w:t>
            </w:r>
          </w:p>
        </w:tc>
        <w:tc>
          <w:tcPr>
            <w:tcW w:w="6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-4.7</w:t>
            </w:r>
          </w:p>
        </w:tc>
        <w:tc>
          <w:tcPr>
            <w:tcW w:w="6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11.5</w:t>
            </w:r>
          </w:p>
        </w:tc>
        <w:tc>
          <w:tcPr>
            <w:tcW w:w="68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-11.0</w:t>
            </w:r>
          </w:p>
        </w:tc>
        <w:tc>
          <w:tcPr>
            <w:tcW w:w="83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284.0</w:t>
            </w:r>
          </w:p>
        </w:tc>
        <w:tc>
          <w:tcPr>
            <w:tcW w:w="6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-8.0</w:t>
            </w:r>
          </w:p>
        </w:tc>
        <w:tc>
          <w:tcPr>
            <w:tcW w:w="7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9.9</w:t>
            </w:r>
          </w:p>
        </w:tc>
        <w:tc>
          <w:tcPr>
            <w:tcW w:w="72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-13.6</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食品饮料加工制造业</w:t>
            </w:r>
          </w:p>
        </w:tc>
        <w:tc>
          <w:tcPr>
            <w:tcW w:w="87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84.9</w:t>
            </w:r>
          </w:p>
        </w:tc>
        <w:tc>
          <w:tcPr>
            <w:tcW w:w="7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-5.0</w:t>
            </w:r>
          </w:p>
        </w:tc>
        <w:tc>
          <w:tcPr>
            <w:tcW w:w="77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3.3</w:t>
            </w:r>
          </w:p>
        </w:tc>
        <w:tc>
          <w:tcPr>
            <w:tcW w:w="7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-2.2</w:t>
            </w:r>
          </w:p>
        </w:tc>
        <w:tc>
          <w:tcPr>
            <w:tcW w:w="8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77.6</w:t>
            </w:r>
          </w:p>
        </w:tc>
        <w:tc>
          <w:tcPr>
            <w:tcW w:w="68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6.0</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2.9</w:t>
            </w:r>
          </w:p>
        </w:tc>
        <w:tc>
          <w:tcPr>
            <w:tcW w:w="68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83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77.9</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w:t>
            </w:r>
          </w:p>
        </w:tc>
        <w:tc>
          <w:tcPr>
            <w:tcW w:w="73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2.7</w:t>
            </w:r>
          </w:p>
        </w:tc>
        <w:tc>
          <w:tcPr>
            <w:tcW w:w="72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0.4</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造纸及纸制品业</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121.4</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19.4</w:t>
            </w:r>
          </w:p>
        </w:tc>
        <w:tc>
          <w:tcPr>
            <w:tcW w:w="7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4.7</w:t>
            </w:r>
          </w:p>
        </w:tc>
        <w:tc>
          <w:tcPr>
            <w:tcW w:w="7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9.4</w:t>
            </w:r>
          </w:p>
        </w:tc>
        <w:tc>
          <w:tcPr>
            <w:tcW w:w="80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115.3</w:t>
            </w:r>
          </w:p>
        </w:tc>
        <w:tc>
          <w:tcPr>
            <w:tcW w:w="6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0.7</w:t>
            </w:r>
          </w:p>
        </w:tc>
        <w:tc>
          <w:tcPr>
            <w:tcW w:w="6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4.3</w:t>
            </w:r>
          </w:p>
        </w:tc>
        <w:tc>
          <w:tcPr>
            <w:tcW w:w="68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0.6</w:t>
            </w:r>
          </w:p>
        </w:tc>
        <w:tc>
          <w:tcPr>
            <w:tcW w:w="83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122.4</w:t>
            </w:r>
          </w:p>
        </w:tc>
        <w:tc>
          <w:tcPr>
            <w:tcW w:w="6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3.9</w:t>
            </w:r>
          </w:p>
        </w:tc>
        <w:tc>
          <w:tcPr>
            <w:tcW w:w="7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4.3</w:t>
            </w:r>
          </w:p>
        </w:tc>
        <w:tc>
          <w:tcPr>
            <w:tcW w:w="72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2.5</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玩具及文体用品制造业</w:t>
            </w:r>
          </w:p>
        </w:tc>
        <w:tc>
          <w:tcPr>
            <w:tcW w:w="87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83.3</w:t>
            </w:r>
          </w:p>
        </w:tc>
        <w:tc>
          <w:tcPr>
            <w:tcW w:w="7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4.3</w:t>
            </w:r>
          </w:p>
        </w:tc>
        <w:tc>
          <w:tcPr>
            <w:tcW w:w="77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7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w:t>
            </w:r>
          </w:p>
        </w:tc>
        <w:tc>
          <w:tcPr>
            <w:tcW w:w="8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104.0</w:t>
            </w:r>
          </w:p>
        </w:tc>
        <w:tc>
          <w:tcPr>
            <w:tcW w:w="68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19.5</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3.8</w:t>
            </w:r>
          </w:p>
        </w:tc>
        <w:tc>
          <w:tcPr>
            <w:tcW w:w="68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12.5</w:t>
            </w:r>
          </w:p>
        </w:tc>
        <w:tc>
          <w:tcPr>
            <w:tcW w:w="83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111.0</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0.2</w:t>
            </w:r>
          </w:p>
        </w:tc>
        <w:tc>
          <w:tcPr>
            <w:tcW w:w="73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3.9</w:t>
            </w:r>
          </w:p>
        </w:tc>
        <w:tc>
          <w:tcPr>
            <w:tcW w:w="72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0.1</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家具制造业</w:t>
            </w:r>
          </w:p>
        </w:tc>
        <w:tc>
          <w:tcPr>
            <w:tcW w:w="87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68.4</w:t>
            </w:r>
          </w:p>
        </w:tc>
        <w:tc>
          <w:tcPr>
            <w:tcW w:w="781"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w:t>
            </w:r>
          </w:p>
        </w:tc>
        <w:tc>
          <w:tcPr>
            <w:tcW w:w="77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2.6</w:t>
            </w:r>
          </w:p>
        </w:tc>
        <w:tc>
          <w:tcPr>
            <w:tcW w:w="7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0.4</w:t>
            </w:r>
          </w:p>
        </w:tc>
        <w:tc>
          <w:tcPr>
            <w:tcW w:w="8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w:t>
            </w:r>
          </w:p>
        </w:tc>
        <w:tc>
          <w:tcPr>
            <w:tcW w:w="68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2.5</w:t>
            </w:r>
          </w:p>
        </w:tc>
        <w:tc>
          <w:tcPr>
            <w:tcW w:w="681"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2.6</w:t>
            </w:r>
          </w:p>
        </w:tc>
        <w:tc>
          <w:tcPr>
            <w:tcW w:w="68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w:t>
            </w:r>
          </w:p>
        </w:tc>
        <w:tc>
          <w:tcPr>
            <w:tcW w:w="83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74.3</w:t>
            </w:r>
          </w:p>
        </w:tc>
        <w:tc>
          <w:tcPr>
            <w:tcW w:w="681"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-0.5</w:t>
            </w:r>
          </w:p>
        </w:tc>
        <w:tc>
          <w:tcPr>
            <w:tcW w:w="73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2.6</w:t>
            </w:r>
          </w:p>
        </w:tc>
        <w:tc>
          <w:tcPr>
            <w:tcW w:w="72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-0.2</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化工制造业</w:t>
            </w:r>
          </w:p>
        </w:tc>
        <w:tc>
          <w:tcPr>
            <w:tcW w:w="87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57.2</w:t>
            </w:r>
          </w:p>
        </w:tc>
        <w:tc>
          <w:tcPr>
            <w:tcW w:w="7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7.7</w:t>
            </w:r>
          </w:p>
        </w:tc>
        <w:tc>
          <w:tcPr>
            <w:tcW w:w="77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2.2</w:t>
            </w:r>
          </w:p>
        </w:tc>
        <w:tc>
          <w:tcPr>
            <w:tcW w:w="7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w:t>
            </w:r>
          </w:p>
        </w:tc>
        <w:tc>
          <w:tcPr>
            <w:tcW w:w="80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51.4</w:t>
            </w:r>
          </w:p>
        </w:tc>
        <w:tc>
          <w:tcPr>
            <w:tcW w:w="68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-2.5</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1.9</w:t>
            </w:r>
          </w:p>
        </w:tc>
        <w:tc>
          <w:tcPr>
            <w:tcW w:w="683"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w:t>
            </w:r>
          </w:p>
        </w:tc>
        <w:tc>
          <w:tcPr>
            <w:tcW w:w="83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53.9</w:t>
            </w:r>
          </w:p>
        </w:tc>
        <w:tc>
          <w:tcPr>
            <w:tcW w:w="681"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2.9</w:t>
            </w:r>
          </w:p>
        </w:tc>
        <w:tc>
          <w:tcPr>
            <w:tcW w:w="730"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1.9</w:t>
            </w:r>
          </w:p>
        </w:tc>
        <w:tc>
          <w:tcPr>
            <w:tcW w:w="722" w:type="dxa"/>
            <w:tcBorders>
              <w:top w:val="nil"/>
              <w:left w:val="nil"/>
              <w:bottom w:val="single" w:color="auto" w:sz="4" w:space="0"/>
              <w:right w:val="single" w:color="auto" w:sz="4" w:space="0"/>
            </w:tcBorders>
            <w:shd w:val="clear" w:color="000000" w:fill="C5D9F1"/>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0.8</w:t>
            </w:r>
          </w:p>
        </w:tc>
      </w:tr>
      <w:tr>
        <w:tblPrEx>
          <w:tblLayout w:type="fixed"/>
          <w:tblCellMar>
            <w:top w:w="0" w:type="dxa"/>
            <w:left w:w="108" w:type="dxa"/>
            <w:bottom w:w="0" w:type="dxa"/>
            <w:right w:w="108" w:type="dxa"/>
          </w:tblCellMar>
        </w:tblPrEx>
        <w:trPr>
          <w:trHeight w:val="567" w:hRule="atLeast"/>
          <w:jc w:val="center"/>
        </w:trPr>
        <w:tc>
          <w:tcPr>
            <w:tcW w:w="2120" w:type="dxa"/>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包装印刷业</w:t>
            </w:r>
          </w:p>
        </w:tc>
        <w:tc>
          <w:tcPr>
            <w:tcW w:w="87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40.7</w:t>
            </w:r>
          </w:p>
        </w:tc>
        <w:tc>
          <w:tcPr>
            <w:tcW w:w="781"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77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w:t>
            </w:r>
          </w:p>
        </w:tc>
        <w:tc>
          <w:tcPr>
            <w:tcW w:w="7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0.6</w:t>
            </w:r>
          </w:p>
        </w:tc>
        <w:tc>
          <w:tcPr>
            <w:tcW w:w="8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43.0</w:t>
            </w:r>
          </w:p>
        </w:tc>
        <w:tc>
          <w:tcPr>
            <w:tcW w:w="68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0.0</w:t>
            </w:r>
          </w:p>
        </w:tc>
        <w:tc>
          <w:tcPr>
            <w:tcW w:w="681"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w:t>
            </w:r>
          </w:p>
        </w:tc>
        <w:tc>
          <w:tcPr>
            <w:tcW w:w="68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0.0</w:t>
            </w:r>
          </w:p>
        </w:tc>
        <w:tc>
          <w:tcPr>
            <w:tcW w:w="83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42.3</w:t>
            </w:r>
          </w:p>
        </w:tc>
        <w:tc>
          <w:tcPr>
            <w:tcW w:w="681"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w:t>
            </w:r>
          </w:p>
        </w:tc>
        <w:tc>
          <w:tcPr>
            <w:tcW w:w="73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w:t>
            </w:r>
          </w:p>
        </w:tc>
        <w:tc>
          <w:tcPr>
            <w:tcW w:w="72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-0.3</w:t>
            </w:r>
          </w:p>
        </w:tc>
      </w:tr>
    </w:tbl>
    <w:p>
      <w:pPr>
        <w:rPr>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826"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康简标题宋">
    <w:panose1 w:val="02010609000101010101"/>
    <w:charset w:val="86"/>
    <w:family w:val="modern"/>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KaiTi_GB2312">
    <w:altName w:val="宋体"/>
    <w:panose1 w:val="00000000000000000000"/>
    <w:charset w:val="86"/>
    <w:family w:val="auto"/>
    <w:pitch w:val="default"/>
    <w:sig w:usb0="00000000" w:usb1="0000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9" w:usb3="00000000" w:csb0="200001FF" w:csb1="00000000"/>
  </w:font>
  <w:font w:name="书体坊米芾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康布丁体W12">
    <w:altName w:val="宋体"/>
    <w:panose1 w:val="040B0C09000000000000"/>
    <w:charset w:val="86"/>
    <w:family w:val="auto"/>
    <w:pitch w:val="default"/>
    <w:sig w:usb0="00000000" w:usb1="00000000" w:usb2="00000012" w:usb3="00000000" w:csb0="00040000" w:csb1="00000000"/>
  </w:font>
  <w:font w:name="华康布丁体W12(P)">
    <w:altName w:val="宋体"/>
    <w:panose1 w:val="040B0C00000000000000"/>
    <w:charset w:val="86"/>
    <w:family w:val="auto"/>
    <w:pitch w:val="default"/>
    <w:sig w:usb0="00000000" w:usb1="00000000" w:usb2="00000012" w:usb3="00000000" w:csb0="00040000" w:csb1="00000000"/>
  </w:font>
  <w:font w:name="华康标题宋W9">
    <w:altName w:val="宋体"/>
    <w:panose1 w:val="02020909000000000000"/>
    <w:charset w:val="86"/>
    <w:family w:val="auto"/>
    <w:pitch w:val="default"/>
    <w:sig w:usb0="00000000" w:usb1="00000000" w:usb2="00000012" w:usb3="00000000" w:csb0="00040000" w:csb1="00000000"/>
  </w:font>
  <w:font w:name="华康标题宋W9(P)">
    <w:altName w:val="宋体"/>
    <w:panose1 w:val="02020900000000000000"/>
    <w:charset w:val="86"/>
    <w:family w:val="auto"/>
    <w:pitch w:val="default"/>
    <w:sig w:usb0="00000000" w:usb1="00000000" w:usb2="00000012"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Calibri">
    <w:panose1 w:val="020F0502020204030204"/>
    <w:charset w:val="86"/>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dobe 仿宋 Std R">
    <w:panose1 w:val="02020400000000000000"/>
    <w:charset w:val="28"/>
    <w:family w:val="roman"/>
    <w:pitch w:val="default"/>
    <w:sig w:usb0="00000001" w:usb1="0A0F1810" w:usb2="00000016" w:usb3="00000000" w:csb0="00060007" w:csb1="00000000"/>
  </w:font>
  <w:font w:name="Wingdings 2">
    <w:panose1 w:val="05020102010507070707"/>
    <w:charset w:val="02"/>
    <w:family w:val="roman"/>
    <w:pitch w:val="default"/>
    <w:sig w:usb0="00000000" w:usb1="00000000" w:usb2="00000000" w:usb3="00000000" w:csb0="80000000" w:csb1="00000000"/>
  </w:font>
  <w:font w:name="宋体-PUA">
    <w:altName w:val="宋体"/>
    <w:panose1 w:val="02010600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华康简标题宋">
    <w:panose1 w:val="02010609000101010101"/>
    <w:charset w:val="00"/>
    <w:family w:val="auto"/>
    <w:pitch w:val="default"/>
    <w:sig w:usb0="00000000" w:usb1="00000000" w:usb2="00000000" w:usb3="00000000" w:csb0="00000000" w:csb1="00000000"/>
  </w:font>
  <w:font w:name="Brush Script MT">
    <w:altName w:val="Mongolian Baiti"/>
    <w:panose1 w:val="03060802040406070304"/>
    <w:charset w:val="00"/>
    <w:family w:val="auto"/>
    <w:pitch w:val="default"/>
    <w:sig w:usb0="00000000" w:usb1="00000000" w:usb2="00000000" w:usb3="00000000" w:csb0="20000001" w:csb1="00000000"/>
  </w:font>
  <w:font w:name="FangSong_GB2312">
    <w:altName w:val="仿宋_GB2312"/>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PMingLiU">
    <w:panose1 w:val="02020500000000000000"/>
    <w:charset w:val="88"/>
    <w:family w:val="roman"/>
    <w:pitch w:val="default"/>
    <w:sig w:usb0="A00002FF" w:usb1="28CFFCFA" w:usb2="00000016" w:usb3="00000000" w:csb0="00100001" w:csb1="00000000"/>
  </w:font>
  <w:font w:name="PMingLiU-ExtB">
    <w:panose1 w:val="02020500000000000000"/>
    <w:charset w:val="88"/>
    <w:family w:val="auto"/>
    <w:pitch w:val="default"/>
    <w:sig w:usb0="8000002F" w:usb1="02000008" w:usb2="00000000" w:usb3="00000000" w:csb0="00100001" w:csb1="00000000"/>
  </w:font>
  <w:font w:name="Wingdings">
    <w:panose1 w:val="05000000000000000000"/>
    <w:charset w:val="00"/>
    <w:family w:val="auto"/>
    <w:pitch w:val="default"/>
    <w:sig w:usb0="00000000" w:usb1="00000000" w:usb2="00000000" w:usb3="00000000" w:csb0="80000000" w:csb1="00000000"/>
  </w:font>
  <w:font w:name="幼圆">
    <w:panose1 w:val="02010509060101010101"/>
    <w:charset w:val="86"/>
    <w:family w:val="auto"/>
    <w:pitch w:val="default"/>
    <w:sig w:usb0="00000001" w:usb1="080E0000" w:usb2="00000000" w:usb3="00000000" w:csb0="00040000" w:csb1="00000000"/>
  </w:font>
  <w:font w:name="张海山锐谐体2.0-授权联系：Samtype@QQ.com">
    <w:altName w:val="宋体"/>
    <w:panose1 w:val="02000000000000000000"/>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思源黑体 CN Bold">
    <w:altName w:val="黑体"/>
    <w:panose1 w:val="020B0800000000000000"/>
    <w:charset w:val="86"/>
    <w:family w:val="auto"/>
    <w:pitch w:val="default"/>
    <w:sig w:usb0="00000000" w:usb1="00000000" w:usb2="00000016" w:usb3="00000000" w:csb0="60060107" w:csb1="00000000"/>
  </w:font>
  <w:font w:name="思源黑体 CN ExtraLight">
    <w:altName w:val="黑体"/>
    <w:panose1 w:val="020B0200000000000000"/>
    <w:charset w:val="86"/>
    <w:family w:val="auto"/>
    <w:pitch w:val="default"/>
    <w:sig w:usb0="00000000" w:usb1="00000000" w:usb2="00000016" w:usb3="00000000" w:csb0="60060107" w:csb1="00000000"/>
  </w:font>
  <w:font w:name="思源黑体 CN Light">
    <w:altName w:val="黑体"/>
    <w:panose1 w:val="020B0300000000000000"/>
    <w:charset w:val="86"/>
    <w:family w:val="auto"/>
    <w:pitch w:val="default"/>
    <w:sig w:usb0="00000000" w:usb1="00000000" w:usb2="00000016" w:usb3="00000000" w:csb0="60060107" w:csb1="00000000"/>
  </w:font>
  <w:font w:name="思源黑体 CN Medium">
    <w:altName w:val="黑体"/>
    <w:panose1 w:val="020B0600000000000000"/>
    <w:charset w:val="86"/>
    <w:family w:val="auto"/>
    <w:pitch w:val="default"/>
    <w:sig w:usb0="00000000" w:usb1="00000000" w:usb2="00000016" w:usb3="00000000" w:csb0="60060107" w:csb1="00000000"/>
  </w:font>
  <w:font w:name="思源黑体 CN Regular">
    <w:altName w:val="黑体"/>
    <w:panose1 w:val="020B0500000000000000"/>
    <w:charset w:val="86"/>
    <w:family w:val="auto"/>
    <w:pitch w:val="default"/>
    <w:sig w:usb0="00000000" w:usb1="00000000" w:usb2="00000016" w:usb3="00000000" w:csb0="60060107"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段宁毛笔行书(修订版）">
    <w:altName w:val="宋体"/>
    <w:panose1 w:val="03000509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禹卫书法隶书简体">
    <w:altName w:val="隶书"/>
    <w:panose1 w:val="02000603000000000000"/>
    <w:charset w:val="86"/>
    <w:family w:val="auto"/>
    <w:pitch w:val="default"/>
    <w:sig w:usb0="00000000" w:usb1="00000000" w:usb2="00000010" w:usb3="00000000" w:csb0="00040000" w:csb1="00000000"/>
  </w:font>
  <w:font w:name="田氏颜体大字库">
    <w:altName w:val="宋体"/>
    <w:panose1 w:val="020B0503020204020204"/>
    <w:charset w:val="86"/>
    <w:family w:val="auto"/>
    <w:pitch w:val="default"/>
    <w:sig w:usb0="00000000" w:usb1="00000000" w:usb2="00000016" w:usb3="00000000" w:csb0="E016019F" w:csb1="9FD70000"/>
  </w:font>
  <w:font w:name="玉米-荡漾体">
    <w:altName w:val="宋体"/>
    <w:panose1 w:val="03000509000000000000"/>
    <w:charset w:val="86"/>
    <w:family w:val="auto"/>
    <w:pitch w:val="default"/>
    <w:sig w:usb0="00000000" w:usb1="00000000" w:usb2="00000000" w:usb3="00000000" w:csb0="00040000" w:csb1="00000000"/>
  </w:font>
  <w:font w:name="汉鼎繁特粗宋">
    <w:altName w:val="宋体"/>
    <w:panose1 w:val="02010609000101010101"/>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AdobeSongStd-Light">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iknow-qb_share_icons">
    <w:altName w:val="Segoe Print"/>
    <w:panose1 w:val="00000000000000000000"/>
    <w:charset w:val="00"/>
    <w:family w:val="auto"/>
    <w:pitch w:val="default"/>
    <w:sig w:usb0="00000000" w:usb1="00000000" w:usb2="00000000" w:usb3="00000000" w:csb0="00000000" w:csb1="00000000"/>
  </w:font>
  <w:font w:name="iknow_editor_icons">
    <w:altName w:val="Segoe Print"/>
    <w:panose1 w:val="00000000000000000000"/>
    <w:charset w:val="00"/>
    <w:family w:val="auto"/>
    <w:pitch w:val="default"/>
    <w:sig w:usb0="00000000" w:usb1="00000000" w:usb2="00000000" w:usb3="00000000" w:csb0="00000000" w:csb1="00000000"/>
  </w:font>
  <w:font w:name="icon-font">
    <w:altName w:val="Segoe Print"/>
    <w:panose1 w:val="00000000000000000000"/>
    <w:charset w:val="00"/>
    <w:family w:val="auto"/>
    <w:pitch w:val="default"/>
    <w:sig w:usb0="00000000" w:usb1="00000000" w:usb2="00000000" w:usb3="00000000" w:csb0="00000000" w:csb1="00000000"/>
  </w:font>
  <w:font w:name="iknow-qb_home_icons">
    <w:altName w:val="Segoe Print"/>
    <w:panose1 w:val="00000000000000000000"/>
    <w:charset w:val="00"/>
    <w:family w:val="auto"/>
    <w:pitch w:val="default"/>
    <w:sig w:usb0="00000000" w:usb1="00000000" w:usb2="00000000" w:usb3="00000000" w:csb0="00000000" w:csb1="00000000"/>
  </w:font>
  <w:font w:name="iknow-qb_grade_ico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Yellow Swamp">
    <w:altName w:val="Vrinda"/>
    <w:panose1 w:val="02000400000000000000"/>
    <w:charset w:val="00"/>
    <w:family w:val="auto"/>
    <w:pitch w:val="default"/>
    <w:sig w:usb0="00000000" w:usb1="00000000" w:usb2="00000040" w:usb3="00000000" w:csb0="00000001" w:csb1="00000000"/>
  </w:font>
  <w:font w:name="Century Gothic">
    <w:panose1 w:val="020B0502020202020204"/>
    <w:charset w:val="00"/>
    <w:family w:val="auto"/>
    <w:pitch w:val="default"/>
    <w:sig w:usb0="00000287" w:usb1="00000000" w:usb2="00000000" w:usb3="00000000" w:csb0="2000009F" w:csb1="DFD70000"/>
  </w:font>
  <w:font w:name="Segoe UI Semilight">
    <w:altName w:val="Segoe UI"/>
    <w:panose1 w:val="020B0402040204020203"/>
    <w:charset w:val="00"/>
    <w:family w:val="auto"/>
    <w:pitch w:val="default"/>
    <w:sig w:usb0="00000000" w:usb1="00000000" w:usb2="00000009" w:usb3="00000000" w:csb0="200001FF" w:csb1="00000000"/>
  </w:font>
  <w:font w:name="baikeFont_layout">
    <w:altName w:val="Segoe Print"/>
    <w:panose1 w:val="00000000000000000000"/>
    <w:charset w:val="00"/>
    <w:family w:val="auto"/>
    <w:pitch w:val="default"/>
    <w:sig w:usb0="00000000" w:usb1="00000000" w:usb2="00000000" w:usb3="00000000" w:csb0="00000000" w:csb1="00000000"/>
  </w:font>
  <w:font w:name="baikeFont_css">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华文隶书">
    <w:panose1 w:val="02010800040101010101"/>
    <w:charset w:val="86"/>
    <w:family w:val="auto"/>
    <w:pitch w:val="default"/>
    <w:sig w:usb0="00000001" w:usb1="080F0000" w:usb2="00000000" w:usb3="00000000" w:csb0="00040000" w:csb1="00000000"/>
  </w:font>
  <w:font w:name="张海山锐谐体">
    <w:altName w:val="宋体"/>
    <w:panose1 w:val="02000000000000000000"/>
    <w:charset w:val="86"/>
    <w:family w:val="auto"/>
    <w:pitch w:val="default"/>
    <w:sig w:usb0="00000000" w:usb1="00000000" w:usb2="00000000" w:usb3="00000000" w:csb0="00040000" w:csb1="00000000"/>
  </w:font>
  <w:font w:name="张海山草泥马体">
    <w:altName w:val="宋体"/>
    <w:panose1 w:val="02000000000000000000"/>
    <w:charset w:val="86"/>
    <w:family w:val="auto"/>
    <w:pitch w:val="default"/>
    <w:sig w:usb0="00000000" w:usb1="00000000" w:usb2="00000000" w:usb3="00000000" w:csb0="00040000" w:csb1="00000000"/>
  </w:font>
  <w:font w:name="_4eff_5b8b_GB2312">
    <w:altName w:val="Segoe Print"/>
    <w:panose1 w:val="00000000000000000000"/>
    <w:charset w:val="00"/>
    <w:family w:val="auto"/>
    <w:pitch w:val="default"/>
    <w:sig w:usb0="00000000" w:usb1="00000000" w:usb2="00000000" w:usb3="00000000" w:csb0="00000000" w:csb1="00000000"/>
  </w:font>
  <w:font w:name="Hakuu">
    <w:altName w:val="MS UI Gothic"/>
    <w:panose1 w:val="02000609000000000000"/>
    <w:charset w:val="80"/>
    <w:family w:val="auto"/>
    <w:pitch w:val="default"/>
    <w:sig w:usb0="00000000" w:usb1="00000000" w:usb2="00000010" w:usb3="00000000" w:csb0="4002009F" w:csb1="DFD70000"/>
  </w:font>
  <w:font w:name="Mongolian Baiti">
    <w:panose1 w:val="03000500000000000000"/>
    <w:charset w:val="00"/>
    <w:family w:val="auto"/>
    <w:pitch w:val="default"/>
    <w:sig w:usb0="80000023" w:usb1="00000000" w:usb2="00020000" w:usb3="00000000" w:csb0="00000001" w:csb1="00000000"/>
  </w:font>
  <w:font w:name="隶书">
    <w:panose1 w:val="02010509060101010101"/>
    <w:charset w:val="86"/>
    <w:family w:val="auto"/>
    <w:pitch w:val="default"/>
    <w:sig w:usb0="00000001" w:usb1="080E0000" w:usb2="00000000" w:usb3="00000000" w:csb0="00040000" w:csb1="00000000"/>
  </w:font>
  <w:font w:name="Vrinda">
    <w:panose1 w:val="020B0502040204020203"/>
    <w:charset w:val="00"/>
    <w:family w:val="auto"/>
    <w:pitch w:val="default"/>
    <w:sig w:usb0="00010003"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MS UI 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ind w:firstLine="360"/>
      <w:rPr>
        <w:rStyle w:val="5"/>
      </w:rPr>
    </w:pPr>
    <w:r>
      <w:rPr>
        <w:rStyle w:val="5"/>
      </w:rPr>
      <w:fldChar w:fldCharType="begin"/>
    </w:r>
    <w:r>
      <w:rPr>
        <w:rStyle w:val="5"/>
      </w:rPr>
      <w:instrText xml:space="preserve">PAGE  </w:instrText>
    </w:r>
    <w:r>
      <w:rPr>
        <w:rStyle w:val="5"/>
      </w:rPr>
      <w:fldChar w:fldCharType="separate"/>
    </w:r>
    <w:r>
      <w:rPr>
        <w:rStyle w:val="5"/>
      </w:rPr>
      <w:t>15</w:t>
    </w:r>
    <w:r>
      <w:rPr>
        <w:rStyle w:val="5"/>
      </w:rPr>
      <w:fldChar w:fldCharType="end"/>
    </w:r>
  </w:p>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ind w:firstLine="360"/>
      <w:rPr>
        <w:rStyle w:val="5"/>
      </w:rPr>
    </w:pPr>
    <w:r>
      <w:rPr>
        <w:rStyle w:val="5"/>
      </w:rPr>
      <w:fldChar w:fldCharType="begin"/>
    </w:r>
    <w:r>
      <w:rPr>
        <w:rStyle w:val="5"/>
      </w:rPr>
      <w:instrText xml:space="preserve">PAGE  </w:instrText>
    </w:r>
    <w:r>
      <w:rPr>
        <w:rStyle w:val="5"/>
      </w:rPr>
      <w:fldChar w:fldCharType="end"/>
    </w:r>
  </w:p>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00E28"/>
    <w:multiLevelType w:val="singleLevel"/>
    <w:tmpl w:val="59300E28"/>
    <w:lvl w:ilvl="0" w:tentative="0">
      <w:start w:val="1"/>
      <w:numFmt w:val="chineseCounting"/>
      <w:suff w:val="nothing"/>
      <w:lvlText w:val="（%1）"/>
      <w:lvlJc w:val="left"/>
      <w:pPr>
        <w:ind w:left="0" w:leftChars="0" w:firstLine="42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501515"/>
    <w:rsid w:val="03501515"/>
    <w:rsid w:val="16F50B6E"/>
    <w:rsid w:val="24DF33ED"/>
    <w:rsid w:val="30801A49"/>
    <w:rsid w:val="3CC40FFB"/>
    <w:rsid w:val="577B0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Calibri" w:hAnsi="Calibri" w:eastAsia="宋体" w:cs="Times New Roman"/>
      <w:kern w:val="2"/>
      <w:sz w:val="24"/>
      <w:szCs w:val="22"/>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spacing w:line="240" w:lineRule="auto"/>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5">
    <w:name w:val="page number"/>
    <w:basedOn w:val="4"/>
    <w:qFormat/>
    <w:uiPriority w:val="0"/>
  </w:style>
  <w:style w:type="character" w:customStyle="1" w:styleId="7">
    <w:name w:val="样式 仿宋_GB2312 四号"/>
    <w:basedOn w:val="4"/>
    <w:qFormat/>
    <w:uiPriority w:val="0"/>
    <w:rPr>
      <w:rFonts w:ascii="Times New Roman" w:hAnsi="Times New Roman" w:eastAsia="仿宋_GB2312"/>
      <w:sz w:val="28"/>
    </w:rPr>
  </w:style>
  <w:style w:type="paragraph" w:customStyle="1" w:styleId="8">
    <w:name w:val="正文3"/>
    <w:basedOn w:val="1"/>
    <w:qFormat/>
    <w:uiPriority w:val="0"/>
    <w:rPr>
      <w:rFonts w:eastAsia="仿宋_GB2312" w:asciiTheme="minorHAnsi" w:hAnsiTheme="minorHAnsi" w:cstheme="minorBidi"/>
      <w:sz w:val="28"/>
    </w:rPr>
  </w:style>
  <w:style w:type="paragraph" w:customStyle="1" w:styleId="9">
    <w:name w:val="No Spacing"/>
    <w:qFormat/>
    <w:uiPriority w:val="0"/>
    <w:pPr>
      <w:widowControl w:val="0"/>
      <w:ind w:firstLine="0" w:firstLineChars="0"/>
      <w:jc w:val="both"/>
    </w:pPr>
    <w:rPr>
      <w:rFonts w:ascii="Times New Roman" w:hAnsi="Times New Roman" w:eastAsia="宋体" w:cs="Times New Roman"/>
      <w:kern w:val="2"/>
      <w:sz w:val="21"/>
      <w:szCs w:val="24"/>
      <w:lang w:val="en-US" w:eastAsia="zh-CN" w:bidi="ar-SA"/>
    </w:rPr>
  </w:style>
  <w:style w:type="paragraph" w:customStyle="1" w:styleId="10">
    <w:name w:val="List Paragraph"/>
    <w:basedOn w:val="1"/>
    <w:qFormat/>
    <w:uiPriority w:val="0"/>
    <w:pPr>
      <w:ind w:firstLine="420"/>
    </w:pPr>
  </w:style>
  <w:style w:type="paragraph" w:customStyle="1" w:styleId="11">
    <w:name w:val="正文1"/>
    <w:basedOn w:val="1"/>
    <w:qFormat/>
    <w:uiPriority w:val="0"/>
    <w:pPr>
      <w:spacing w:line="560" w:lineRule="exact"/>
      <w:ind w:firstLine="620" w:firstLineChars="200"/>
    </w:pPr>
    <w:rPr>
      <w:rFonts w:ascii="Times New Roman" w:hAnsi="Times New Roman" w:eastAsia="仿宋_GB2312" w:cs="Times New Roman"/>
      <w:sz w:val="31"/>
      <w:szCs w:val="3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2017-05-22T06:20:00Z</dcterms:created>
  <dc:creator>Administrator</dc:creator>
  <cp:lastModifiedBy>Administrator</cp:lastModifiedBy>
  <dcterms:modified xsi:type="dcterms:W3CDTF">2017-06-14T06:49:36Z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